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b38be96d14de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35888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ERNESTINOVO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3.104.795,47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4.115.431,07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1.604.236,13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1.951.590,86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1.500.559,34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2.163.840,21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87.593,99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636.587,39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3.916.618,10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548.993,40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3.915.028,50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1.261.188,29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Općina Ernestinovo ostvarila je višak prihoda poslovanja u iznosu od 2.163.840,21 eura. </w:t>
      </w:r>
    </w:p>
    <w:p>
      <w:r>
        <w:t xml:space="preserve">Ukupni prihodi od prodaje nefinancijske imovine iznose 1.589,60 eura i odnosi se na prodaju poljoprivrednog zemljišta, dok su ukupni rashodi veći  za 3.915.028,50 eura. Razlog tome je što se nabavljala oprema i izvodili su se radovi. </w:t>
      </w:r>
    </w:p>
    <w:p>
      <w:r>
        <w:t xml:space="preserve">U 2025. godini Općina Ernestinovo se zadužila u Privrednoj banci Zagreb u iznosu od 490.000,00 eura. Zaduženje je vezano uz projekt Kreativni dječji centar.</w:t>
      </w:r>
    </w:p>
    <w:p>
      <w:r>
        <w:t xml:space="preserve">Na kraju izvještajnog razdoblja imamo manjak prihoda i primitaka u iznosu od 1.261.188,29 eura a s prenesenim viškom prihoda iz prošlog razdoblja koji iznosi 1.154.598,72 eura, Općina posluje sa manjkom prihoda u iznosu od 106.589,57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10.740,39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10.740,39 eura. </w:t>
      </w:r>
    </w:p>
    <w:p>
      <w:r>
        <w:t xml:space="preserve">Računi nisu plaćeni na vrijeme budući da radovi koji su trebali biti izvrešni do određenog roka, nisu izvršeni, stoga je plaćanje odgođeno do završetka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ovom izvještaju prikazani su prihodi i rashodi vezano uz projekte : Kreativni dječji centar, Biciklistička staza Laslovo, Projekt Zaželi - Osnažene Ernestine, Revitalizacija galerije Petar Smajić, Rekonstrukcija ceste Koče Popovića u Divošu , i dječje igralište.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f67a1504ec419c" /></Relationships>
</file>