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A7309" w14:textId="41CE32E5" w:rsidR="00300F3F" w:rsidRPr="008E6664" w:rsidRDefault="00300F3F" w:rsidP="00300F3F">
      <w:pPr>
        <w:spacing w:after="160" w:line="259" w:lineRule="auto"/>
        <w:jc w:val="both"/>
        <w:rPr>
          <w:rFonts w:ascii="Times New Roman" w:eastAsiaTheme="minorHAnsi" w:hAnsi="Times New Roman"/>
          <w:sz w:val="22"/>
          <w:szCs w:val="22"/>
        </w:rPr>
      </w:pPr>
      <w:r w:rsidRPr="008E6664">
        <w:rPr>
          <w:rFonts w:ascii="Times New Roman" w:eastAsiaTheme="minorHAnsi" w:hAnsi="Times New Roman"/>
          <w:sz w:val="22"/>
          <w:szCs w:val="22"/>
        </w:rPr>
        <w:t>Na temelju članka 78. Zakona o komunalnom gospodarstvu (Narodne novine, broj 68/18, 110/18 – Odluka USRH i 32/20), te članka 28. Statuta Općine Ernestinovo („Službeni glasnik Općine Ernestinovo“ broj 1/13, 4/13, 3/18, 4/18, 4/19 – pročišćeni tekst, 4/20)</w:t>
      </w:r>
      <w:r w:rsidR="00CB723A">
        <w:rPr>
          <w:rFonts w:ascii="Times New Roman" w:eastAsiaTheme="minorHAnsi" w:hAnsi="Times New Roman"/>
          <w:sz w:val="22"/>
          <w:szCs w:val="22"/>
        </w:rPr>
        <w:t xml:space="preserve">, nakon provedenog savjetovanja sa zainteresiranom javnošću, </w:t>
      </w:r>
      <w:r w:rsidRPr="008E6664">
        <w:rPr>
          <w:rFonts w:ascii="Times New Roman" w:eastAsiaTheme="minorHAnsi" w:hAnsi="Times New Roman"/>
          <w:sz w:val="22"/>
          <w:szCs w:val="22"/>
        </w:rPr>
        <w:t>Općinsko vijeće Općine Ernestinovo na</w:t>
      </w:r>
      <w:r w:rsidR="00AC1501">
        <w:rPr>
          <w:rFonts w:ascii="Times New Roman" w:eastAsiaTheme="minorHAnsi" w:hAnsi="Times New Roman"/>
          <w:sz w:val="22"/>
          <w:szCs w:val="22"/>
        </w:rPr>
        <w:t xml:space="preserve"> </w:t>
      </w:r>
      <w:r w:rsidR="00A615D9">
        <w:rPr>
          <w:rFonts w:ascii="Times New Roman" w:eastAsiaTheme="minorHAnsi" w:hAnsi="Times New Roman"/>
          <w:sz w:val="22"/>
          <w:szCs w:val="22"/>
        </w:rPr>
        <w:t>34.</w:t>
      </w:r>
      <w:r w:rsidRPr="008E6664">
        <w:rPr>
          <w:rFonts w:ascii="Times New Roman" w:eastAsiaTheme="minorHAnsi" w:hAnsi="Times New Roman"/>
          <w:sz w:val="22"/>
          <w:szCs w:val="22"/>
        </w:rPr>
        <w:t xml:space="preserve"> sjednici održanoj </w:t>
      </w:r>
      <w:r w:rsidR="00A615D9">
        <w:rPr>
          <w:rFonts w:ascii="Times New Roman" w:eastAsiaTheme="minorHAnsi" w:hAnsi="Times New Roman"/>
          <w:sz w:val="22"/>
          <w:szCs w:val="22"/>
        </w:rPr>
        <w:t>9. rujna</w:t>
      </w:r>
      <w:r w:rsidRPr="008E6664">
        <w:rPr>
          <w:rFonts w:ascii="Times New Roman" w:eastAsiaTheme="minorHAnsi" w:hAnsi="Times New Roman"/>
          <w:sz w:val="22"/>
          <w:szCs w:val="22"/>
        </w:rPr>
        <w:t xml:space="preserve"> 2020. donijelo je</w:t>
      </w:r>
    </w:p>
    <w:p w14:paraId="48FBF52A" w14:textId="77777777" w:rsidR="00300F3F" w:rsidRPr="008E6664" w:rsidRDefault="00300F3F" w:rsidP="00300F3F">
      <w:pPr>
        <w:spacing w:after="160" w:line="259" w:lineRule="auto"/>
        <w:rPr>
          <w:rFonts w:ascii="Times New Roman" w:eastAsiaTheme="minorHAnsi" w:hAnsi="Times New Roman"/>
          <w:sz w:val="22"/>
          <w:szCs w:val="22"/>
        </w:rPr>
      </w:pPr>
    </w:p>
    <w:p w14:paraId="04F91E62" w14:textId="77777777" w:rsidR="00300F3F" w:rsidRPr="008E6664" w:rsidRDefault="00300F3F" w:rsidP="00300F3F">
      <w:pPr>
        <w:jc w:val="center"/>
        <w:rPr>
          <w:rFonts w:ascii="Times New Roman" w:eastAsiaTheme="minorHAnsi" w:hAnsi="Times New Roman"/>
          <w:b/>
          <w:sz w:val="22"/>
          <w:szCs w:val="22"/>
        </w:rPr>
      </w:pPr>
      <w:r w:rsidRPr="008E6664">
        <w:rPr>
          <w:rFonts w:ascii="Times New Roman" w:eastAsiaTheme="minorHAnsi" w:hAnsi="Times New Roman"/>
          <w:b/>
          <w:sz w:val="22"/>
          <w:szCs w:val="22"/>
        </w:rPr>
        <w:t>ODLUKU</w:t>
      </w:r>
    </w:p>
    <w:p w14:paraId="640F4C13" w14:textId="77777777" w:rsidR="00300F3F" w:rsidRPr="008E6664" w:rsidRDefault="00300F3F" w:rsidP="00300F3F">
      <w:pPr>
        <w:jc w:val="center"/>
        <w:rPr>
          <w:rFonts w:ascii="Times New Roman" w:eastAsiaTheme="minorHAnsi" w:hAnsi="Times New Roman"/>
          <w:b/>
          <w:sz w:val="22"/>
          <w:szCs w:val="22"/>
        </w:rPr>
      </w:pPr>
      <w:r w:rsidRPr="008E6664">
        <w:rPr>
          <w:rFonts w:ascii="Times New Roman" w:eastAsiaTheme="minorHAnsi" w:hAnsi="Times New Roman"/>
          <w:b/>
          <w:sz w:val="22"/>
          <w:szCs w:val="22"/>
        </w:rPr>
        <w:t>o komunalnom doprinosu Općine Ernestinovo</w:t>
      </w:r>
    </w:p>
    <w:p w14:paraId="39E650C4" w14:textId="77777777" w:rsidR="00300F3F" w:rsidRPr="008E6664" w:rsidRDefault="00300F3F" w:rsidP="00300F3F">
      <w:pPr>
        <w:spacing w:after="160" w:line="259" w:lineRule="auto"/>
        <w:jc w:val="center"/>
        <w:rPr>
          <w:rFonts w:ascii="Times New Roman" w:eastAsiaTheme="minorHAnsi" w:hAnsi="Times New Roman"/>
          <w:b/>
          <w:sz w:val="22"/>
          <w:szCs w:val="22"/>
        </w:rPr>
      </w:pPr>
    </w:p>
    <w:p w14:paraId="53B53D34" w14:textId="77777777" w:rsidR="00300F3F" w:rsidRDefault="00300F3F" w:rsidP="00300F3F">
      <w:pPr>
        <w:numPr>
          <w:ilvl w:val="0"/>
          <w:numId w:val="1"/>
        </w:numPr>
        <w:spacing w:after="160" w:line="259" w:lineRule="auto"/>
        <w:contextualSpacing/>
        <w:jc w:val="both"/>
        <w:rPr>
          <w:rFonts w:ascii="Times New Roman" w:eastAsiaTheme="minorHAnsi" w:hAnsi="Times New Roman"/>
          <w:b/>
          <w:bCs/>
          <w:sz w:val="22"/>
          <w:szCs w:val="22"/>
        </w:rPr>
      </w:pPr>
      <w:r w:rsidRPr="008E6664">
        <w:rPr>
          <w:rFonts w:ascii="Times New Roman" w:eastAsiaTheme="minorHAnsi" w:hAnsi="Times New Roman"/>
          <w:b/>
          <w:bCs/>
          <w:sz w:val="22"/>
          <w:szCs w:val="22"/>
        </w:rPr>
        <w:t>UVODNE ODREDBE</w:t>
      </w:r>
    </w:p>
    <w:p w14:paraId="6AF9D119" w14:textId="77777777" w:rsidR="00300F3F" w:rsidRPr="008E6664" w:rsidRDefault="00300F3F" w:rsidP="00300F3F">
      <w:pPr>
        <w:spacing w:after="160" w:line="259" w:lineRule="auto"/>
        <w:contextualSpacing/>
        <w:jc w:val="both"/>
        <w:rPr>
          <w:rFonts w:ascii="Times New Roman" w:eastAsiaTheme="minorHAnsi" w:hAnsi="Times New Roman"/>
          <w:b/>
          <w:bCs/>
          <w:sz w:val="22"/>
          <w:szCs w:val="22"/>
        </w:rPr>
      </w:pPr>
    </w:p>
    <w:p w14:paraId="0CD7AACA" w14:textId="77777777" w:rsidR="00300F3F" w:rsidRDefault="00300F3F" w:rsidP="00300F3F">
      <w:pPr>
        <w:spacing w:line="259" w:lineRule="auto"/>
        <w:jc w:val="center"/>
        <w:rPr>
          <w:rFonts w:ascii="Times New Roman" w:eastAsiaTheme="minorHAnsi" w:hAnsi="Times New Roman"/>
          <w:sz w:val="22"/>
          <w:szCs w:val="22"/>
        </w:rPr>
      </w:pPr>
      <w:r w:rsidRPr="008E6664">
        <w:rPr>
          <w:rFonts w:ascii="Times New Roman" w:eastAsiaTheme="minorHAnsi" w:hAnsi="Times New Roman"/>
          <w:sz w:val="22"/>
          <w:szCs w:val="22"/>
        </w:rPr>
        <w:t>Članak 1.</w:t>
      </w:r>
    </w:p>
    <w:p w14:paraId="48BFC0DA" w14:textId="77777777" w:rsidR="00300F3F" w:rsidRDefault="00300F3F" w:rsidP="00813B31">
      <w:pPr>
        <w:spacing w:line="259" w:lineRule="auto"/>
        <w:jc w:val="both"/>
        <w:rPr>
          <w:rFonts w:ascii="Times New Roman" w:eastAsiaTheme="minorHAnsi" w:hAnsi="Times New Roman"/>
          <w:sz w:val="22"/>
          <w:szCs w:val="22"/>
        </w:rPr>
      </w:pPr>
      <w:r w:rsidRPr="008E6664">
        <w:rPr>
          <w:rFonts w:ascii="Times New Roman" w:eastAsiaTheme="minorHAnsi" w:hAnsi="Times New Roman"/>
          <w:sz w:val="22"/>
          <w:szCs w:val="22"/>
        </w:rPr>
        <w:t>Ovom se odlukom određuju visina komunalnog doprinosa koji se plaća za korištenje komunalne infrastrukture na području Općine Ernestinovo i položajne pogodnosti građevinskog zemljišta u naselju prilikom građenja ili ozakonjenja građevine, zone za obračun komunalnog doprinosa, način i rokovi plaćanja, te opći uvjeti i razlozi za oslobađanje od plaćanja komunalnog doprinosa.</w:t>
      </w:r>
    </w:p>
    <w:p w14:paraId="7F56513E" w14:textId="77777777" w:rsidR="00300F3F" w:rsidRPr="008E6664" w:rsidRDefault="00300F3F" w:rsidP="00300F3F">
      <w:pPr>
        <w:spacing w:line="259" w:lineRule="auto"/>
        <w:ind w:firstLine="720"/>
        <w:rPr>
          <w:rFonts w:ascii="Times New Roman" w:eastAsiaTheme="minorHAnsi" w:hAnsi="Times New Roman"/>
          <w:sz w:val="22"/>
          <w:szCs w:val="22"/>
        </w:rPr>
      </w:pPr>
    </w:p>
    <w:p w14:paraId="2D77C6DD" w14:textId="77777777" w:rsidR="00300F3F" w:rsidRDefault="00300F3F" w:rsidP="00300F3F">
      <w:pPr>
        <w:spacing w:line="259" w:lineRule="auto"/>
        <w:jc w:val="center"/>
        <w:rPr>
          <w:rFonts w:ascii="Times New Roman" w:eastAsiaTheme="minorHAnsi" w:hAnsi="Times New Roman"/>
          <w:sz w:val="22"/>
          <w:szCs w:val="22"/>
        </w:rPr>
      </w:pPr>
      <w:r w:rsidRPr="008E6664">
        <w:rPr>
          <w:rFonts w:ascii="Times New Roman" w:eastAsiaTheme="minorHAnsi" w:hAnsi="Times New Roman"/>
          <w:sz w:val="22"/>
          <w:szCs w:val="22"/>
        </w:rPr>
        <w:t>Članak 2.</w:t>
      </w:r>
    </w:p>
    <w:p w14:paraId="6714D231" w14:textId="77777777" w:rsidR="00300F3F" w:rsidRPr="008E6664" w:rsidRDefault="00300F3F" w:rsidP="00813B31">
      <w:pPr>
        <w:spacing w:line="259" w:lineRule="auto"/>
        <w:rPr>
          <w:rFonts w:ascii="Times New Roman" w:eastAsiaTheme="minorHAnsi" w:hAnsi="Times New Roman"/>
          <w:sz w:val="22"/>
          <w:szCs w:val="22"/>
        </w:rPr>
      </w:pPr>
      <w:r w:rsidRPr="008E6664">
        <w:rPr>
          <w:rFonts w:ascii="Times New Roman" w:eastAsiaTheme="minorHAnsi" w:hAnsi="Times New Roman"/>
          <w:sz w:val="22"/>
          <w:szCs w:val="22"/>
        </w:rPr>
        <w:t>Obveznik plaćanja komunalnog doprinosa je vlasnik zemljišta na kojem se gradi građevina ili se nalazi ozakonjena građevina.</w:t>
      </w:r>
    </w:p>
    <w:p w14:paraId="24D08DB3" w14:textId="7F1B31CC" w:rsidR="00300F3F" w:rsidRPr="008E6664" w:rsidRDefault="00300F3F" w:rsidP="00300F3F">
      <w:pPr>
        <w:spacing w:line="259" w:lineRule="auto"/>
        <w:jc w:val="both"/>
        <w:rPr>
          <w:rFonts w:ascii="Times New Roman" w:eastAsiaTheme="minorHAnsi" w:hAnsi="Times New Roman"/>
          <w:sz w:val="22"/>
          <w:szCs w:val="22"/>
        </w:rPr>
      </w:pPr>
      <w:r w:rsidRPr="008E6664">
        <w:rPr>
          <w:rFonts w:ascii="Times New Roman" w:eastAsiaTheme="minorHAnsi" w:hAnsi="Times New Roman"/>
          <w:sz w:val="22"/>
          <w:szCs w:val="22"/>
        </w:rPr>
        <w:t>Umjesto vlasnika zemljišta, obveznik plaćanja komunalnog doprinosa je investitor ako je na njega pisanim ugovorom prenesena obveza plaćanja komunalnog doprinosa.</w:t>
      </w:r>
    </w:p>
    <w:p w14:paraId="6FD8D514" w14:textId="77777777" w:rsidR="00300F3F" w:rsidRPr="008E6664" w:rsidRDefault="00300F3F" w:rsidP="00300F3F">
      <w:pPr>
        <w:spacing w:line="259" w:lineRule="auto"/>
        <w:jc w:val="center"/>
        <w:rPr>
          <w:rFonts w:ascii="Times New Roman" w:eastAsiaTheme="minorHAnsi" w:hAnsi="Times New Roman"/>
          <w:sz w:val="22"/>
          <w:szCs w:val="22"/>
        </w:rPr>
      </w:pPr>
    </w:p>
    <w:p w14:paraId="6C736449" w14:textId="77777777" w:rsidR="00300F3F" w:rsidRDefault="00300F3F" w:rsidP="00300F3F">
      <w:pPr>
        <w:numPr>
          <w:ilvl w:val="0"/>
          <w:numId w:val="1"/>
        </w:numPr>
        <w:spacing w:line="259" w:lineRule="auto"/>
        <w:contextualSpacing/>
        <w:jc w:val="both"/>
        <w:rPr>
          <w:rFonts w:ascii="Times New Roman" w:eastAsiaTheme="minorHAnsi" w:hAnsi="Times New Roman"/>
          <w:b/>
          <w:bCs/>
          <w:sz w:val="22"/>
          <w:szCs w:val="22"/>
        </w:rPr>
      </w:pPr>
      <w:r w:rsidRPr="008E6664">
        <w:rPr>
          <w:rFonts w:ascii="Times New Roman" w:eastAsiaTheme="minorHAnsi" w:hAnsi="Times New Roman"/>
          <w:b/>
          <w:bCs/>
          <w:sz w:val="22"/>
          <w:szCs w:val="22"/>
        </w:rPr>
        <w:t>ZONE ZA PLAĆANJE KOMUNALNOG DOPRINOSA</w:t>
      </w:r>
    </w:p>
    <w:p w14:paraId="21DB46D2" w14:textId="77777777" w:rsidR="00300F3F" w:rsidRPr="008E6664" w:rsidRDefault="00300F3F" w:rsidP="00300F3F">
      <w:pPr>
        <w:spacing w:line="259" w:lineRule="auto"/>
        <w:ind w:left="360"/>
        <w:contextualSpacing/>
        <w:jc w:val="both"/>
        <w:rPr>
          <w:rFonts w:ascii="Times New Roman" w:eastAsiaTheme="minorHAnsi" w:hAnsi="Times New Roman"/>
          <w:b/>
          <w:bCs/>
          <w:sz w:val="22"/>
          <w:szCs w:val="22"/>
        </w:rPr>
      </w:pPr>
    </w:p>
    <w:p w14:paraId="7438BB54" w14:textId="77777777" w:rsidR="00300F3F" w:rsidRPr="008E6664" w:rsidRDefault="00300F3F" w:rsidP="00300F3F">
      <w:pPr>
        <w:spacing w:line="259" w:lineRule="auto"/>
        <w:jc w:val="center"/>
        <w:rPr>
          <w:rFonts w:ascii="Times New Roman" w:eastAsiaTheme="minorHAnsi" w:hAnsi="Times New Roman"/>
          <w:sz w:val="22"/>
          <w:szCs w:val="22"/>
        </w:rPr>
      </w:pPr>
      <w:r w:rsidRPr="008E6664">
        <w:rPr>
          <w:rFonts w:ascii="Times New Roman" w:eastAsiaTheme="minorHAnsi" w:hAnsi="Times New Roman"/>
          <w:sz w:val="22"/>
          <w:szCs w:val="22"/>
        </w:rPr>
        <w:t>Članak 3.</w:t>
      </w:r>
    </w:p>
    <w:p w14:paraId="3F778BF0" w14:textId="77777777" w:rsidR="00300F3F" w:rsidRPr="008E6664" w:rsidRDefault="00300F3F" w:rsidP="00813B31">
      <w:pPr>
        <w:spacing w:line="276" w:lineRule="auto"/>
        <w:jc w:val="both"/>
        <w:rPr>
          <w:rFonts w:ascii="Times New Roman" w:eastAsiaTheme="minorHAnsi" w:hAnsi="Times New Roman"/>
          <w:bCs/>
          <w:sz w:val="22"/>
          <w:szCs w:val="22"/>
        </w:rPr>
      </w:pPr>
      <w:r w:rsidRPr="008E6664">
        <w:rPr>
          <w:rFonts w:ascii="Times New Roman" w:eastAsiaTheme="minorHAnsi" w:hAnsi="Times New Roman"/>
          <w:bCs/>
          <w:sz w:val="22"/>
          <w:szCs w:val="22"/>
        </w:rPr>
        <w:t>U Općini Ernestinovo utvrđuju se područja zona za plaćanje komunalnog doprinosa s obzirom na uređenost i opremljenost zone komunalnom infrastrukturom i položaj područja zone (udaljenost od središta naselja, mrežu javnog prijevoza, dostupnost građevina javne i društvene namjene, te opskrba i usluga, prostorne i prirodne uvjete) kako slijedi:</w:t>
      </w:r>
    </w:p>
    <w:p w14:paraId="68404AEE" w14:textId="77777777" w:rsidR="008E6664" w:rsidRPr="008E6664" w:rsidRDefault="00300F3F" w:rsidP="00300F3F">
      <w:pPr>
        <w:numPr>
          <w:ilvl w:val="0"/>
          <w:numId w:val="2"/>
        </w:numPr>
        <w:spacing w:after="160" w:line="276" w:lineRule="auto"/>
        <w:contextualSpacing/>
        <w:jc w:val="both"/>
        <w:rPr>
          <w:rFonts w:ascii="Times New Roman" w:eastAsiaTheme="minorHAnsi" w:hAnsi="Times New Roman"/>
          <w:b/>
          <w:bCs/>
          <w:sz w:val="22"/>
          <w:szCs w:val="22"/>
        </w:rPr>
      </w:pPr>
      <w:r w:rsidRPr="008E6664">
        <w:rPr>
          <w:rFonts w:ascii="Times New Roman" w:eastAsiaTheme="minorHAnsi" w:hAnsi="Times New Roman"/>
          <w:b/>
          <w:bCs/>
          <w:sz w:val="22"/>
          <w:szCs w:val="22"/>
        </w:rPr>
        <w:t xml:space="preserve">ZONA </w:t>
      </w:r>
    </w:p>
    <w:p w14:paraId="05877703" w14:textId="77777777" w:rsidR="00300F3F" w:rsidRPr="008E6664" w:rsidRDefault="00300F3F" w:rsidP="00300F3F">
      <w:pPr>
        <w:spacing w:line="276" w:lineRule="auto"/>
        <w:ind w:left="360"/>
        <w:jc w:val="both"/>
        <w:rPr>
          <w:rFonts w:ascii="Times New Roman" w:eastAsiaTheme="minorHAnsi" w:hAnsi="Times New Roman"/>
          <w:sz w:val="22"/>
          <w:szCs w:val="22"/>
        </w:rPr>
      </w:pPr>
      <w:r w:rsidRPr="008E6664">
        <w:rPr>
          <w:rFonts w:ascii="Times New Roman" w:eastAsiaTheme="minorHAnsi" w:hAnsi="Times New Roman"/>
          <w:sz w:val="22"/>
          <w:szCs w:val="22"/>
        </w:rPr>
        <w:t xml:space="preserve">U naselju Ernestinovo ulice: Vladimira Nazora, Školska, Stadionska, Braće Radića, Matije Gupca, Frankopanska, Nikole Šubića Zrinskog, Ivana Gorana Kovačića, Bana Josipa Jelačića, Alojzija Stepinca, Sunčana, Petra </w:t>
      </w:r>
      <w:proofErr w:type="spellStart"/>
      <w:r w:rsidRPr="008E6664">
        <w:rPr>
          <w:rFonts w:ascii="Times New Roman" w:eastAsiaTheme="minorHAnsi" w:hAnsi="Times New Roman"/>
          <w:sz w:val="22"/>
          <w:szCs w:val="22"/>
        </w:rPr>
        <w:t>Smajića</w:t>
      </w:r>
      <w:proofErr w:type="spellEnd"/>
      <w:r w:rsidRPr="008E6664">
        <w:rPr>
          <w:rFonts w:ascii="Times New Roman" w:eastAsiaTheme="minorHAnsi" w:hAnsi="Times New Roman"/>
          <w:sz w:val="22"/>
          <w:szCs w:val="22"/>
        </w:rPr>
        <w:t>.</w:t>
      </w:r>
    </w:p>
    <w:p w14:paraId="38ED6CCE" w14:textId="77777777" w:rsidR="00300F3F" w:rsidRPr="008E6664" w:rsidRDefault="00300F3F" w:rsidP="00300F3F">
      <w:pPr>
        <w:spacing w:line="276" w:lineRule="auto"/>
        <w:ind w:left="360"/>
        <w:jc w:val="both"/>
        <w:rPr>
          <w:rFonts w:ascii="Times New Roman" w:eastAsiaTheme="minorHAnsi" w:hAnsi="Times New Roman"/>
          <w:sz w:val="22"/>
          <w:szCs w:val="22"/>
        </w:rPr>
      </w:pPr>
      <w:r w:rsidRPr="008E6664">
        <w:rPr>
          <w:rFonts w:ascii="Times New Roman" w:eastAsiaTheme="minorHAnsi" w:hAnsi="Times New Roman"/>
          <w:sz w:val="22"/>
          <w:szCs w:val="22"/>
        </w:rPr>
        <w:t xml:space="preserve">U naselju </w:t>
      </w:r>
      <w:proofErr w:type="spellStart"/>
      <w:r w:rsidRPr="008E6664">
        <w:rPr>
          <w:rFonts w:ascii="Times New Roman" w:eastAsiaTheme="minorHAnsi" w:hAnsi="Times New Roman"/>
          <w:sz w:val="22"/>
          <w:szCs w:val="22"/>
        </w:rPr>
        <w:t>Laslovo</w:t>
      </w:r>
      <w:proofErr w:type="spellEnd"/>
      <w:r w:rsidRPr="008E6664">
        <w:rPr>
          <w:rFonts w:ascii="Times New Roman" w:eastAsiaTheme="minorHAnsi" w:hAnsi="Times New Roman"/>
          <w:sz w:val="22"/>
          <w:szCs w:val="22"/>
        </w:rPr>
        <w:t xml:space="preserve"> ulice: Šandora </w:t>
      </w:r>
      <w:proofErr w:type="spellStart"/>
      <w:r w:rsidRPr="008E6664">
        <w:rPr>
          <w:rFonts w:ascii="Times New Roman" w:eastAsiaTheme="minorHAnsi" w:hAnsi="Times New Roman"/>
          <w:sz w:val="22"/>
          <w:szCs w:val="22"/>
        </w:rPr>
        <w:t>Petefija</w:t>
      </w:r>
      <w:proofErr w:type="spellEnd"/>
      <w:r w:rsidRPr="008E6664">
        <w:rPr>
          <w:rFonts w:ascii="Times New Roman" w:eastAsiaTheme="minorHAnsi" w:hAnsi="Times New Roman"/>
          <w:sz w:val="22"/>
          <w:szCs w:val="22"/>
        </w:rPr>
        <w:t xml:space="preserve">, Trg hrvatskih branitelja, Vladimira Nazora, Kolodvorska, Zadružna, Vinogradska, Pobjede, Školska, Josipa Kozarca, Ulica dr. Franje Tuđmana (osim brojeva 32 i 33), Mirna, Rudolfa </w:t>
      </w:r>
      <w:proofErr w:type="spellStart"/>
      <w:r w:rsidRPr="008E6664">
        <w:rPr>
          <w:rFonts w:ascii="Times New Roman" w:eastAsiaTheme="minorHAnsi" w:hAnsi="Times New Roman"/>
          <w:sz w:val="22"/>
          <w:szCs w:val="22"/>
        </w:rPr>
        <w:t>Frančića</w:t>
      </w:r>
      <w:proofErr w:type="spellEnd"/>
      <w:r w:rsidRPr="008E6664">
        <w:rPr>
          <w:rFonts w:ascii="Times New Roman" w:eastAsiaTheme="minorHAnsi" w:hAnsi="Times New Roman"/>
          <w:sz w:val="22"/>
          <w:szCs w:val="22"/>
        </w:rPr>
        <w:t xml:space="preserve"> te Ekonomiju i Vrbik.</w:t>
      </w:r>
    </w:p>
    <w:p w14:paraId="0773F5F4" w14:textId="77777777" w:rsidR="00300F3F" w:rsidRPr="008E6664" w:rsidRDefault="00300F3F" w:rsidP="00300F3F">
      <w:pPr>
        <w:spacing w:line="276" w:lineRule="auto"/>
        <w:ind w:left="360"/>
        <w:jc w:val="both"/>
        <w:rPr>
          <w:rFonts w:ascii="Times New Roman" w:eastAsiaTheme="minorHAnsi" w:hAnsi="Times New Roman"/>
          <w:sz w:val="22"/>
          <w:szCs w:val="22"/>
        </w:rPr>
      </w:pPr>
      <w:r w:rsidRPr="008E6664">
        <w:rPr>
          <w:rFonts w:ascii="Times New Roman" w:eastAsiaTheme="minorHAnsi" w:hAnsi="Times New Roman"/>
          <w:sz w:val="22"/>
          <w:szCs w:val="22"/>
        </w:rPr>
        <w:t xml:space="preserve">U naselju </w:t>
      </w:r>
      <w:proofErr w:type="spellStart"/>
      <w:r w:rsidRPr="008E6664">
        <w:rPr>
          <w:rFonts w:ascii="Times New Roman" w:eastAsiaTheme="minorHAnsi" w:hAnsi="Times New Roman"/>
          <w:sz w:val="22"/>
          <w:szCs w:val="22"/>
        </w:rPr>
        <w:t>Divoš</w:t>
      </w:r>
      <w:proofErr w:type="spellEnd"/>
      <w:r w:rsidRPr="008E6664">
        <w:rPr>
          <w:rFonts w:ascii="Times New Roman" w:eastAsiaTheme="minorHAnsi" w:hAnsi="Times New Roman"/>
          <w:sz w:val="22"/>
          <w:szCs w:val="22"/>
        </w:rPr>
        <w:t>: Ulicu Koče Popovića te industrijsko</w:t>
      </w:r>
      <w:r>
        <w:rPr>
          <w:rFonts w:ascii="Times New Roman" w:eastAsiaTheme="minorHAnsi" w:hAnsi="Times New Roman"/>
          <w:sz w:val="22"/>
          <w:szCs w:val="22"/>
        </w:rPr>
        <w:t>-</w:t>
      </w:r>
      <w:r w:rsidRPr="008E6664">
        <w:rPr>
          <w:rFonts w:ascii="Times New Roman" w:eastAsiaTheme="minorHAnsi" w:hAnsi="Times New Roman"/>
          <w:sz w:val="22"/>
          <w:szCs w:val="22"/>
        </w:rPr>
        <w:t xml:space="preserve">gospodarsku zonu. </w:t>
      </w:r>
    </w:p>
    <w:p w14:paraId="06AF4053" w14:textId="77777777" w:rsidR="00300F3F" w:rsidRPr="008E6664" w:rsidRDefault="00300F3F" w:rsidP="00300F3F">
      <w:pPr>
        <w:spacing w:line="276" w:lineRule="auto"/>
        <w:ind w:left="360"/>
        <w:jc w:val="both"/>
        <w:rPr>
          <w:rFonts w:ascii="Times New Roman" w:eastAsiaTheme="minorHAnsi" w:hAnsi="Times New Roman"/>
          <w:b/>
          <w:bCs/>
          <w:sz w:val="22"/>
          <w:szCs w:val="22"/>
        </w:rPr>
      </w:pPr>
    </w:p>
    <w:p w14:paraId="0C4369DA" w14:textId="77777777" w:rsidR="00300F3F" w:rsidRPr="008E6664" w:rsidRDefault="00300F3F" w:rsidP="00300F3F">
      <w:pPr>
        <w:pStyle w:val="Odlomakpopisa"/>
        <w:numPr>
          <w:ilvl w:val="0"/>
          <w:numId w:val="2"/>
        </w:numPr>
        <w:spacing w:after="160" w:line="276" w:lineRule="auto"/>
        <w:jc w:val="both"/>
        <w:rPr>
          <w:rFonts w:ascii="Times New Roman" w:eastAsiaTheme="minorHAnsi" w:hAnsi="Times New Roman"/>
          <w:b/>
          <w:bCs/>
          <w:sz w:val="22"/>
          <w:szCs w:val="22"/>
        </w:rPr>
      </w:pPr>
      <w:r w:rsidRPr="008E6664">
        <w:rPr>
          <w:rFonts w:ascii="Times New Roman" w:eastAsiaTheme="minorHAnsi" w:hAnsi="Times New Roman"/>
          <w:b/>
          <w:bCs/>
          <w:sz w:val="22"/>
          <w:szCs w:val="22"/>
        </w:rPr>
        <w:t>ZONA</w:t>
      </w:r>
    </w:p>
    <w:p w14:paraId="11407E6E" w14:textId="77777777" w:rsidR="00300F3F" w:rsidRPr="008E6664" w:rsidRDefault="00300F3F" w:rsidP="00300F3F">
      <w:pPr>
        <w:spacing w:line="276" w:lineRule="auto"/>
        <w:ind w:left="360"/>
        <w:jc w:val="both"/>
        <w:rPr>
          <w:rFonts w:ascii="Times New Roman" w:eastAsiaTheme="minorHAnsi" w:hAnsi="Times New Roman"/>
          <w:sz w:val="22"/>
          <w:szCs w:val="22"/>
        </w:rPr>
      </w:pPr>
      <w:r w:rsidRPr="008E6664">
        <w:rPr>
          <w:rFonts w:ascii="Times New Roman" w:eastAsiaTheme="minorHAnsi" w:hAnsi="Times New Roman"/>
          <w:sz w:val="22"/>
          <w:szCs w:val="22"/>
        </w:rPr>
        <w:t>U na</w:t>
      </w:r>
      <w:r>
        <w:rPr>
          <w:rFonts w:ascii="Times New Roman" w:eastAsiaTheme="minorHAnsi" w:hAnsi="Times New Roman"/>
          <w:sz w:val="22"/>
          <w:szCs w:val="22"/>
        </w:rPr>
        <w:t>se</w:t>
      </w:r>
      <w:r w:rsidRPr="008E6664">
        <w:rPr>
          <w:rFonts w:ascii="Times New Roman" w:eastAsiaTheme="minorHAnsi" w:hAnsi="Times New Roman"/>
          <w:sz w:val="22"/>
          <w:szCs w:val="22"/>
        </w:rPr>
        <w:t xml:space="preserve">lju Ernestinovo </w:t>
      </w:r>
      <w:proofErr w:type="spellStart"/>
      <w:r w:rsidRPr="008E6664">
        <w:rPr>
          <w:rFonts w:ascii="Times New Roman" w:eastAsiaTheme="minorHAnsi" w:hAnsi="Times New Roman"/>
          <w:sz w:val="22"/>
          <w:szCs w:val="22"/>
        </w:rPr>
        <w:t>Rokin</w:t>
      </w:r>
      <w:proofErr w:type="spellEnd"/>
      <w:r w:rsidRPr="008E6664">
        <w:rPr>
          <w:rFonts w:ascii="Times New Roman" w:eastAsiaTheme="minorHAnsi" w:hAnsi="Times New Roman"/>
          <w:sz w:val="22"/>
          <w:szCs w:val="22"/>
        </w:rPr>
        <w:t xml:space="preserve"> put. </w:t>
      </w:r>
    </w:p>
    <w:p w14:paraId="723EF835" w14:textId="77777777" w:rsidR="00300F3F" w:rsidRPr="008E6664" w:rsidRDefault="00300F3F" w:rsidP="00300F3F">
      <w:pPr>
        <w:spacing w:line="276" w:lineRule="auto"/>
        <w:ind w:left="360"/>
        <w:jc w:val="both"/>
        <w:rPr>
          <w:rFonts w:ascii="Times New Roman" w:eastAsiaTheme="minorHAnsi" w:hAnsi="Times New Roman"/>
          <w:sz w:val="22"/>
          <w:szCs w:val="22"/>
        </w:rPr>
      </w:pPr>
      <w:r w:rsidRPr="008E6664">
        <w:rPr>
          <w:rFonts w:ascii="Times New Roman" w:eastAsiaTheme="minorHAnsi" w:hAnsi="Times New Roman"/>
          <w:sz w:val="22"/>
          <w:szCs w:val="22"/>
        </w:rPr>
        <w:t xml:space="preserve">U naselju </w:t>
      </w:r>
      <w:proofErr w:type="spellStart"/>
      <w:r w:rsidRPr="008E6664">
        <w:rPr>
          <w:rFonts w:ascii="Times New Roman" w:eastAsiaTheme="minorHAnsi" w:hAnsi="Times New Roman"/>
          <w:sz w:val="22"/>
          <w:szCs w:val="22"/>
        </w:rPr>
        <w:t>Laslovo</w:t>
      </w:r>
      <w:proofErr w:type="spellEnd"/>
      <w:r w:rsidRPr="008E6664">
        <w:rPr>
          <w:rFonts w:ascii="Times New Roman" w:eastAsiaTheme="minorHAnsi" w:hAnsi="Times New Roman"/>
          <w:sz w:val="22"/>
          <w:szCs w:val="22"/>
        </w:rPr>
        <w:t>: dio Ulice dr. Franje Tuđmana i to kućne brojeve 32 i 33</w:t>
      </w:r>
    </w:p>
    <w:p w14:paraId="74C4F692" w14:textId="77777777" w:rsidR="00300F3F" w:rsidRPr="008E6664" w:rsidRDefault="00300F3F" w:rsidP="00300F3F">
      <w:pPr>
        <w:spacing w:line="276" w:lineRule="auto"/>
        <w:ind w:left="360"/>
        <w:jc w:val="both"/>
        <w:rPr>
          <w:rFonts w:ascii="Times New Roman" w:eastAsiaTheme="minorHAnsi" w:hAnsi="Times New Roman"/>
          <w:sz w:val="22"/>
          <w:szCs w:val="22"/>
        </w:rPr>
      </w:pPr>
    </w:p>
    <w:p w14:paraId="43343FD7" w14:textId="77777777" w:rsidR="00300F3F" w:rsidRPr="008E6664" w:rsidRDefault="00300F3F" w:rsidP="00300F3F">
      <w:pPr>
        <w:numPr>
          <w:ilvl w:val="0"/>
          <w:numId w:val="2"/>
        </w:numPr>
        <w:spacing w:after="160" w:line="276" w:lineRule="auto"/>
        <w:contextualSpacing/>
        <w:jc w:val="both"/>
        <w:rPr>
          <w:rFonts w:ascii="Times New Roman" w:eastAsiaTheme="minorHAnsi" w:hAnsi="Times New Roman"/>
          <w:b/>
          <w:bCs/>
          <w:sz w:val="22"/>
          <w:szCs w:val="22"/>
        </w:rPr>
      </w:pPr>
      <w:r w:rsidRPr="008E6664">
        <w:rPr>
          <w:rFonts w:ascii="Times New Roman" w:eastAsiaTheme="minorHAnsi" w:hAnsi="Times New Roman"/>
          <w:b/>
          <w:bCs/>
          <w:sz w:val="22"/>
          <w:szCs w:val="22"/>
        </w:rPr>
        <w:t>ZONA</w:t>
      </w:r>
    </w:p>
    <w:p w14:paraId="4681FE3C" w14:textId="13603CAD" w:rsidR="00AE25AD" w:rsidRDefault="00300F3F" w:rsidP="00AE25AD">
      <w:pPr>
        <w:spacing w:line="276" w:lineRule="auto"/>
        <w:ind w:left="360"/>
        <w:jc w:val="both"/>
        <w:rPr>
          <w:rFonts w:ascii="Times New Roman" w:eastAsiaTheme="minorHAnsi" w:hAnsi="Times New Roman"/>
          <w:sz w:val="22"/>
          <w:szCs w:val="22"/>
        </w:rPr>
      </w:pPr>
      <w:r w:rsidRPr="008E6664">
        <w:rPr>
          <w:rFonts w:ascii="Times New Roman" w:eastAsiaTheme="minorHAnsi" w:hAnsi="Times New Roman"/>
          <w:sz w:val="22"/>
          <w:szCs w:val="22"/>
        </w:rPr>
        <w:t xml:space="preserve">Ostalo područje Općine Ernestinovo </w:t>
      </w:r>
      <w:r w:rsidR="004C1E5D">
        <w:rPr>
          <w:rFonts w:ascii="Times New Roman" w:eastAsiaTheme="minorHAnsi" w:hAnsi="Times New Roman"/>
          <w:sz w:val="22"/>
          <w:szCs w:val="22"/>
        </w:rPr>
        <w:t>(izvan građevinskog područja navedenih naselja u prethodnim zonama).</w:t>
      </w:r>
    </w:p>
    <w:p w14:paraId="6E048233" w14:textId="3E03D810" w:rsidR="00813B31" w:rsidRDefault="00813B31" w:rsidP="00AE25AD">
      <w:pPr>
        <w:spacing w:line="276" w:lineRule="auto"/>
        <w:ind w:left="360"/>
        <w:jc w:val="both"/>
        <w:rPr>
          <w:rFonts w:ascii="Times New Roman" w:eastAsiaTheme="minorHAnsi" w:hAnsi="Times New Roman"/>
          <w:sz w:val="22"/>
          <w:szCs w:val="22"/>
        </w:rPr>
      </w:pPr>
    </w:p>
    <w:p w14:paraId="3484A944" w14:textId="77777777" w:rsidR="00813B31" w:rsidRDefault="00813B31" w:rsidP="00AE25AD">
      <w:pPr>
        <w:spacing w:line="276" w:lineRule="auto"/>
        <w:ind w:left="360"/>
        <w:jc w:val="both"/>
        <w:rPr>
          <w:rFonts w:ascii="Times New Roman" w:eastAsiaTheme="minorHAnsi" w:hAnsi="Times New Roman"/>
          <w:sz w:val="22"/>
          <w:szCs w:val="22"/>
        </w:rPr>
      </w:pPr>
    </w:p>
    <w:p w14:paraId="0403298E" w14:textId="77777777" w:rsidR="00300F3F" w:rsidRPr="00AE25AD" w:rsidRDefault="00300F3F" w:rsidP="00AE25AD">
      <w:pPr>
        <w:spacing w:line="276" w:lineRule="auto"/>
        <w:ind w:left="360"/>
        <w:jc w:val="both"/>
        <w:rPr>
          <w:rFonts w:ascii="Times New Roman" w:eastAsiaTheme="minorHAnsi" w:hAnsi="Times New Roman"/>
          <w:sz w:val="22"/>
          <w:szCs w:val="22"/>
        </w:rPr>
      </w:pPr>
      <w:r w:rsidRPr="008E6664">
        <w:rPr>
          <w:rFonts w:ascii="Times New Roman" w:eastAsiaTheme="minorHAnsi" w:hAnsi="Times New Roman"/>
          <w:b/>
          <w:bCs/>
          <w:sz w:val="22"/>
          <w:szCs w:val="22"/>
        </w:rPr>
        <w:lastRenderedPageBreak/>
        <w:tab/>
      </w:r>
      <w:r w:rsidRPr="008E6664">
        <w:rPr>
          <w:rFonts w:ascii="Times New Roman" w:eastAsiaTheme="minorHAnsi" w:hAnsi="Times New Roman"/>
          <w:b/>
          <w:bCs/>
          <w:sz w:val="22"/>
          <w:szCs w:val="22"/>
        </w:rPr>
        <w:tab/>
      </w:r>
    </w:p>
    <w:p w14:paraId="085DD354" w14:textId="77777777" w:rsidR="00300F3F" w:rsidRDefault="00300F3F" w:rsidP="00300F3F">
      <w:pPr>
        <w:numPr>
          <w:ilvl w:val="0"/>
          <w:numId w:val="1"/>
        </w:numPr>
        <w:spacing w:after="160" w:line="259" w:lineRule="auto"/>
        <w:contextualSpacing/>
        <w:jc w:val="both"/>
        <w:rPr>
          <w:rFonts w:ascii="Times New Roman" w:eastAsiaTheme="minorHAnsi" w:hAnsi="Times New Roman"/>
          <w:b/>
          <w:bCs/>
          <w:sz w:val="22"/>
          <w:szCs w:val="22"/>
        </w:rPr>
      </w:pPr>
      <w:r w:rsidRPr="008E6664">
        <w:rPr>
          <w:rFonts w:ascii="Times New Roman" w:eastAsiaTheme="minorHAnsi" w:hAnsi="Times New Roman"/>
          <w:b/>
          <w:bCs/>
          <w:sz w:val="22"/>
          <w:szCs w:val="22"/>
        </w:rPr>
        <w:t>JEDINIČNA VRIJEDNOST KOMUNALNOG DOPRINOSA</w:t>
      </w:r>
    </w:p>
    <w:p w14:paraId="1280ED79" w14:textId="77777777" w:rsidR="00300F3F" w:rsidRPr="008E6664" w:rsidRDefault="00300F3F" w:rsidP="00300F3F">
      <w:pPr>
        <w:spacing w:after="160" w:line="259" w:lineRule="auto"/>
        <w:ind w:left="1080"/>
        <w:contextualSpacing/>
        <w:jc w:val="both"/>
        <w:rPr>
          <w:rFonts w:ascii="Times New Roman" w:eastAsiaTheme="minorHAnsi" w:hAnsi="Times New Roman"/>
          <w:b/>
          <w:bCs/>
          <w:sz w:val="22"/>
          <w:szCs w:val="22"/>
        </w:rPr>
      </w:pPr>
    </w:p>
    <w:p w14:paraId="7722F805" w14:textId="77777777" w:rsidR="00300F3F" w:rsidRDefault="00300F3F" w:rsidP="00300F3F">
      <w:pPr>
        <w:spacing w:line="259" w:lineRule="auto"/>
        <w:jc w:val="center"/>
        <w:rPr>
          <w:rFonts w:ascii="Times New Roman" w:eastAsiaTheme="minorHAnsi" w:hAnsi="Times New Roman"/>
          <w:sz w:val="22"/>
          <w:szCs w:val="22"/>
        </w:rPr>
      </w:pPr>
      <w:r w:rsidRPr="008E6664">
        <w:rPr>
          <w:rFonts w:ascii="Times New Roman" w:eastAsiaTheme="minorHAnsi" w:hAnsi="Times New Roman"/>
          <w:sz w:val="22"/>
          <w:szCs w:val="22"/>
        </w:rPr>
        <w:t>Članak 4.</w:t>
      </w:r>
    </w:p>
    <w:p w14:paraId="1391D972" w14:textId="77777777" w:rsidR="00300F3F" w:rsidRPr="00097948" w:rsidRDefault="00300F3F" w:rsidP="00813B31">
      <w:pPr>
        <w:spacing w:line="259" w:lineRule="auto"/>
        <w:rPr>
          <w:rFonts w:ascii="Times New Roman" w:eastAsiaTheme="minorHAnsi" w:hAnsi="Times New Roman"/>
          <w:sz w:val="22"/>
          <w:szCs w:val="22"/>
        </w:rPr>
      </w:pPr>
      <w:r w:rsidRPr="008E6664">
        <w:rPr>
          <w:rFonts w:ascii="Times New Roman" w:eastAsiaTheme="minorHAnsi" w:hAnsi="Times New Roman"/>
          <w:bCs/>
          <w:sz w:val="22"/>
          <w:szCs w:val="22"/>
        </w:rPr>
        <w:t>Jedinična vrijednost komunalnog doprinosa po pojedinim zonama je sljedeća:</w:t>
      </w:r>
    </w:p>
    <w:p w14:paraId="5D4FA72E" w14:textId="77777777" w:rsidR="00300F3F" w:rsidRPr="008E6664" w:rsidRDefault="00300F3F" w:rsidP="00300F3F">
      <w:pPr>
        <w:spacing w:line="276" w:lineRule="auto"/>
        <w:jc w:val="both"/>
        <w:rPr>
          <w:rFonts w:ascii="Times New Roman" w:eastAsiaTheme="minorHAnsi" w:hAnsi="Times New Roman"/>
          <w:bCs/>
          <w:sz w:val="22"/>
          <w:szCs w:val="22"/>
        </w:rPr>
      </w:pPr>
    </w:p>
    <w:tbl>
      <w:tblPr>
        <w:tblStyle w:val="Obinatablica4"/>
        <w:tblW w:w="0" w:type="auto"/>
        <w:tblInd w:w="1423" w:type="dxa"/>
        <w:tblLayout w:type="fixed"/>
        <w:tblLook w:val="04A0" w:firstRow="1" w:lastRow="0" w:firstColumn="1" w:lastColumn="0" w:noHBand="0" w:noVBand="1"/>
      </w:tblPr>
      <w:tblGrid>
        <w:gridCol w:w="1932"/>
        <w:gridCol w:w="2046"/>
        <w:gridCol w:w="2259"/>
      </w:tblGrid>
      <w:tr w:rsidR="007F57AD" w:rsidRPr="008E6664" w14:paraId="1B434399" w14:textId="77777777" w:rsidTr="00F108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2" w:type="dxa"/>
          </w:tcPr>
          <w:p w14:paraId="53CD7576" w14:textId="77777777" w:rsidR="007F57AD" w:rsidRPr="008E6664" w:rsidRDefault="007F57AD" w:rsidP="00300F3F">
            <w:pPr>
              <w:numPr>
                <w:ilvl w:val="0"/>
                <w:numId w:val="3"/>
              </w:numPr>
              <w:spacing w:after="160" w:line="276" w:lineRule="auto"/>
              <w:contextualSpacing/>
              <w:rPr>
                <w:rFonts w:ascii="Times New Roman" w:hAnsi="Times New Roman"/>
                <w:sz w:val="22"/>
                <w:szCs w:val="22"/>
              </w:rPr>
            </w:pPr>
            <w:r>
              <w:rPr>
                <w:rFonts w:ascii="Times New Roman" w:hAnsi="Times New Roman"/>
                <w:sz w:val="22"/>
                <w:szCs w:val="22"/>
              </w:rPr>
              <w:t>ZONA</w:t>
            </w:r>
          </w:p>
        </w:tc>
        <w:tc>
          <w:tcPr>
            <w:tcW w:w="2046" w:type="dxa"/>
          </w:tcPr>
          <w:p w14:paraId="0C202356" w14:textId="77777777" w:rsidR="007F57AD" w:rsidRPr="008E6664" w:rsidRDefault="007F57AD" w:rsidP="00300F3F">
            <w:pPr>
              <w:numPr>
                <w:ilvl w:val="0"/>
                <w:numId w:val="3"/>
              </w:numPr>
              <w:spacing w:after="160" w:line="276" w:lineRule="auto"/>
              <w:contextualSpacing/>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sz w:val="22"/>
                <w:szCs w:val="22"/>
              </w:rPr>
            </w:pPr>
            <w:r w:rsidRPr="008E6664">
              <w:rPr>
                <w:rFonts w:ascii="Times New Roman" w:hAnsi="Times New Roman"/>
                <w:bCs w:val="0"/>
                <w:sz w:val="22"/>
                <w:szCs w:val="22"/>
              </w:rPr>
              <w:t>ZONA</w:t>
            </w:r>
          </w:p>
        </w:tc>
        <w:tc>
          <w:tcPr>
            <w:tcW w:w="2259" w:type="dxa"/>
          </w:tcPr>
          <w:p w14:paraId="47F84A32" w14:textId="77777777" w:rsidR="007F57AD" w:rsidRPr="008E6664" w:rsidRDefault="007F57AD" w:rsidP="00300F3F">
            <w:pPr>
              <w:numPr>
                <w:ilvl w:val="0"/>
                <w:numId w:val="3"/>
              </w:numPr>
              <w:spacing w:after="160"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sz w:val="22"/>
                <w:szCs w:val="22"/>
              </w:rPr>
            </w:pPr>
            <w:r w:rsidRPr="008E6664">
              <w:rPr>
                <w:rFonts w:ascii="Times New Roman" w:hAnsi="Times New Roman"/>
                <w:bCs w:val="0"/>
                <w:sz w:val="22"/>
                <w:szCs w:val="22"/>
              </w:rPr>
              <w:t>ZONA</w:t>
            </w:r>
          </w:p>
        </w:tc>
      </w:tr>
      <w:tr w:rsidR="007F57AD" w:rsidRPr="008E6664" w14:paraId="179B9F9E" w14:textId="77777777" w:rsidTr="00F108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2" w:type="dxa"/>
          </w:tcPr>
          <w:p w14:paraId="7E84F97A" w14:textId="77777777" w:rsidR="007F57AD" w:rsidRPr="007F57AD" w:rsidRDefault="007F57AD" w:rsidP="009509ED">
            <w:pPr>
              <w:spacing w:after="160" w:line="276" w:lineRule="auto"/>
              <w:jc w:val="center"/>
              <w:rPr>
                <w:rFonts w:ascii="Times New Roman" w:eastAsiaTheme="minorHAnsi" w:hAnsi="Times New Roman"/>
                <w:b w:val="0"/>
                <w:sz w:val="22"/>
                <w:szCs w:val="22"/>
              </w:rPr>
            </w:pPr>
            <w:r w:rsidRPr="007F57AD">
              <w:rPr>
                <w:rFonts w:ascii="Times New Roman" w:eastAsiaTheme="minorHAnsi" w:hAnsi="Times New Roman"/>
                <w:b w:val="0"/>
                <w:sz w:val="22"/>
                <w:szCs w:val="22"/>
              </w:rPr>
              <w:t>10,00kn</w:t>
            </w:r>
          </w:p>
        </w:tc>
        <w:tc>
          <w:tcPr>
            <w:tcW w:w="2046" w:type="dxa"/>
          </w:tcPr>
          <w:p w14:paraId="4E63C6AA" w14:textId="77777777" w:rsidR="007F57AD" w:rsidRPr="008E6664" w:rsidRDefault="007F57AD" w:rsidP="009509ED">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sz w:val="22"/>
                <w:szCs w:val="22"/>
              </w:rPr>
            </w:pPr>
            <w:r>
              <w:rPr>
                <w:rFonts w:ascii="Times New Roman" w:eastAsiaTheme="minorHAnsi" w:hAnsi="Times New Roman"/>
                <w:bCs/>
                <w:sz w:val="22"/>
                <w:szCs w:val="22"/>
              </w:rPr>
              <w:t>7</w:t>
            </w:r>
            <w:r w:rsidRPr="008E6664">
              <w:rPr>
                <w:rFonts w:ascii="Times New Roman" w:eastAsiaTheme="minorHAnsi" w:hAnsi="Times New Roman"/>
                <w:bCs/>
                <w:sz w:val="22"/>
                <w:szCs w:val="22"/>
              </w:rPr>
              <w:t>,00kn</w:t>
            </w:r>
          </w:p>
        </w:tc>
        <w:tc>
          <w:tcPr>
            <w:tcW w:w="2259" w:type="dxa"/>
          </w:tcPr>
          <w:p w14:paraId="64C93FA6" w14:textId="77777777" w:rsidR="007F57AD" w:rsidRPr="008E6664" w:rsidRDefault="004C1E5D" w:rsidP="009509ED">
            <w:pPr>
              <w:spacing w:after="16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bCs/>
                <w:sz w:val="22"/>
                <w:szCs w:val="22"/>
              </w:rPr>
            </w:pPr>
            <w:r>
              <w:rPr>
                <w:rFonts w:ascii="Times New Roman" w:eastAsiaTheme="minorHAnsi" w:hAnsi="Times New Roman"/>
                <w:bCs/>
                <w:sz w:val="22"/>
                <w:szCs w:val="22"/>
              </w:rPr>
              <w:t>5</w:t>
            </w:r>
            <w:r w:rsidR="007F57AD" w:rsidRPr="008E6664">
              <w:rPr>
                <w:rFonts w:ascii="Times New Roman" w:eastAsiaTheme="minorHAnsi" w:hAnsi="Times New Roman"/>
                <w:bCs/>
                <w:sz w:val="22"/>
                <w:szCs w:val="22"/>
              </w:rPr>
              <w:t>,00kn</w:t>
            </w:r>
          </w:p>
        </w:tc>
      </w:tr>
    </w:tbl>
    <w:p w14:paraId="484741D8" w14:textId="77777777" w:rsidR="00300F3F" w:rsidRPr="008E6664" w:rsidRDefault="00300F3F" w:rsidP="00300F3F">
      <w:pPr>
        <w:spacing w:line="276" w:lineRule="auto"/>
        <w:jc w:val="both"/>
        <w:rPr>
          <w:rFonts w:ascii="Times New Roman" w:eastAsiaTheme="minorHAnsi" w:hAnsi="Times New Roman"/>
          <w:bCs/>
          <w:sz w:val="22"/>
          <w:szCs w:val="22"/>
        </w:rPr>
      </w:pPr>
    </w:p>
    <w:p w14:paraId="70B5E650" w14:textId="77777777" w:rsidR="00300F3F" w:rsidRPr="008E6664" w:rsidRDefault="00300F3F" w:rsidP="00813B31">
      <w:pPr>
        <w:spacing w:line="259" w:lineRule="auto"/>
        <w:jc w:val="both"/>
        <w:rPr>
          <w:rFonts w:ascii="Times New Roman" w:eastAsiaTheme="minorHAnsi" w:hAnsi="Times New Roman"/>
          <w:sz w:val="22"/>
          <w:szCs w:val="22"/>
        </w:rPr>
      </w:pPr>
      <w:r w:rsidRPr="008E6664">
        <w:rPr>
          <w:rFonts w:ascii="Times New Roman" w:eastAsiaTheme="minorHAnsi" w:hAnsi="Times New Roman"/>
          <w:sz w:val="22"/>
          <w:szCs w:val="22"/>
        </w:rPr>
        <w:t>Komunalni doprinos za ozakonjenje nezakonito izgrađenih zgrada u svim zonama na području Općine Ernestinovo iznosi 1,00 kn/m</w:t>
      </w:r>
      <w:r w:rsidRPr="008E6664">
        <w:rPr>
          <w:rFonts w:ascii="Times New Roman" w:eastAsiaTheme="minorHAnsi" w:hAnsi="Times New Roman"/>
          <w:sz w:val="22"/>
          <w:szCs w:val="22"/>
          <w:vertAlign w:val="superscript"/>
        </w:rPr>
        <w:t>3</w:t>
      </w:r>
      <w:r w:rsidRPr="008E6664">
        <w:rPr>
          <w:rFonts w:ascii="Times New Roman" w:eastAsiaTheme="minorHAnsi" w:hAnsi="Times New Roman"/>
          <w:sz w:val="22"/>
          <w:szCs w:val="22"/>
        </w:rPr>
        <w:t>.</w:t>
      </w:r>
    </w:p>
    <w:p w14:paraId="0D518C04" w14:textId="77777777" w:rsidR="00300F3F" w:rsidRPr="008E6664" w:rsidRDefault="00300F3F" w:rsidP="00300F3F">
      <w:pPr>
        <w:spacing w:line="259" w:lineRule="auto"/>
        <w:ind w:firstLine="708"/>
        <w:jc w:val="both"/>
        <w:rPr>
          <w:rFonts w:ascii="Times New Roman" w:eastAsiaTheme="minorHAnsi" w:hAnsi="Times New Roman"/>
          <w:sz w:val="22"/>
          <w:szCs w:val="22"/>
        </w:rPr>
      </w:pPr>
    </w:p>
    <w:p w14:paraId="0C754029" w14:textId="77777777" w:rsidR="00300F3F" w:rsidRDefault="00300F3F" w:rsidP="00300F3F">
      <w:pPr>
        <w:numPr>
          <w:ilvl w:val="0"/>
          <w:numId w:val="1"/>
        </w:numPr>
        <w:spacing w:line="259" w:lineRule="auto"/>
        <w:contextualSpacing/>
        <w:jc w:val="both"/>
        <w:rPr>
          <w:rFonts w:ascii="Times New Roman" w:eastAsiaTheme="minorHAnsi" w:hAnsi="Times New Roman"/>
          <w:b/>
          <w:bCs/>
          <w:sz w:val="22"/>
          <w:szCs w:val="22"/>
        </w:rPr>
      </w:pPr>
      <w:r w:rsidRPr="008E6664">
        <w:rPr>
          <w:rFonts w:ascii="Times New Roman" w:eastAsiaTheme="minorHAnsi" w:hAnsi="Times New Roman"/>
          <w:b/>
          <w:bCs/>
          <w:sz w:val="22"/>
          <w:szCs w:val="22"/>
        </w:rPr>
        <w:t>NAČIN I ROKOVI PLAĆANJA KOMUNALNOG DOPRINOSA</w:t>
      </w:r>
    </w:p>
    <w:p w14:paraId="092B1C0C" w14:textId="77777777" w:rsidR="00300F3F" w:rsidRPr="008E6664" w:rsidRDefault="00300F3F" w:rsidP="00300F3F">
      <w:pPr>
        <w:spacing w:line="259" w:lineRule="auto"/>
        <w:ind w:left="1080"/>
        <w:contextualSpacing/>
        <w:jc w:val="both"/>
        <w:rPr>
          <w:rFonts w:ascii="Times New Roman" w:eastAsiaTheme="minorHAnsi" w:hAnsi="Times New Roman"/>
          <w:b/>
          <w:bCs/>
          <w:sz w:val="22"/>
          <w:szCs w:val="22"/>
        </w:rPr>
      </w:pPr>
    </w:p>
    <w:p w14:paraId="55DF9FD8" w14:textId="77777777" w:rsidR="00300F3F" w:rsidRPr="008E6664" w:rsidRDefault="00300F3F" w:rsidP="00300F3F">
      <w:pPr>
        <w:spacing w:line="259" w:lineRule="auto"/>
        <w:jc w:val="center"/>
        <w:rPr>
          <w:rFonts w:ascii="Times New Roman" w:eastAsiaTheme="minorHAnsi" w:hAnsi="Times New Roman"/>
          <w:sz w:val="22"/>
          <w:szCs w:val="22"/>
        </w:rPr>
      </w:pPr>
      <w:r w:rsidRPr="008E6664">
        <w:rPr>
          <w:rFonts w:ascii="Times New Roman" w:eastAsiaTheme="minorHAnsi" w:hAnsi="Times New Roman"/>
          <w:sz w:val="22"/>
          <w:szCs w:val="22"/>
        </w:rPr>
        <w:t>Članak 5.</w:t>
      </w:r>
    </w:p>
    <w:p w14:paraId="7F04171A" w14:textId="556A09C0" w:rsidR="007F57AD" w:rsidRPr="008E6664" w:rsidRDefault="00300F3F" w:rsidP="00300F3F">
      <w:pPr>
        <w:spacing w:after="160" w:line="259" w:lineRule="auto"/>
        <w:jc w:val="both"/>
        <w:rPr>
          <w:rFonts w:ascii="Times New Roman" w:eastAsiaTheme="minorHAnsi" w:hAnsi="Times New Roman"/>
          <w:sz w:val="22"/>
          <w:szCs w:val="22"/>
        </w:rPr>
      </w:pPr>
      <w:r w:rsidRPr="008E6664">
        <w:rPr>
          <w:rFonts w:ascii="Times New Roman" w:eastAsiaTheme="minorHAnsi" w:hAnsi="Times New Roman"/>
          <w:sz w:val="22"/>
          <w:szCs w:val="22"/>
        </w:rPr>
        <w:t>Komunalni doprinos obveznik plaća jednokratno na poslovni račun Općine Ernestinovo</w:t>
      </w:r>
      <w:r w:rsidR="007F57AD">
        <w:rPr>
          <w:rFonts w:ascii="Times New Roman" w:eastAsiaTheme="minorHAnsi" w:hAnsi="Times New Roman"/>
          <w:sz w:val="22"/>
          <w:szCs w:val="22"/>
        </w:rPr>
        <w:t xml:space="preserve"> </w:t>
      </w:r>
      <w:r w:rsidRPr="008E6664">
        <w:rPr>
          <w:rFonts w:ascii="Times New Roman" w:eastAsiaTheme="minorHAnsi" w:hAnsi="Times New Roman"/>
          <w:sz w:val="22"/>
          <w:szCs w:val="22"/>
        </w:rPr>
        <w:t>na temelju rješenja koje donosi Jedinstveni upravni odjel, u roku 15 dana od dana izvršnosti rješenja o komunalnom doprinosu. Potvrdu o plaćenom komunalnom doprinosu izdaje upravni odjel.</w:t>
      </w:r>
    </w:p>
    <w:p w14:paraId="5AF74764" w14:textId="6004FE23" w:rsidR="00300F3F" w:rsidRPr="008E6664" w:rsidRDefault="00300F3F" w:rsidP="00300F3F">
      <w:pPr>
        <w:spacing w:after="160" w:line="259" w:lineRule="auto"/>
        <w:jc w:val="both"/>
        <w:rPr>
          <w:rFonts w:ascii="Times New Roman" w:eastAsiaTheme="minorHAnsi" w:hAnsi="Times New Roman"/>
          <w:sz w:val="22"/>
          <w:szCs w:val="22"/>
        </w:rPr>
      </w:pPr>
      <w:r w:rsidRPr="008E6664">
        <w:rPr>
          <w:rFonts w:ascii="Times New Roman" w:eastAsiaTheme="minorHAnsi" w:hAnsi="Times New Roman"/>
          <w:sz w:val="22"/>
          <w:szCs w:val="22"/>
        </w:rPr>
        <w:t xml:space="preserve">Komunalni doprinos obveznik može platiti do 24 jednaka mjesečna obroka u roku </w:t>
      </w:r>
      <w:r>
        <w:rPr>
          <w:rFonts w:ascii="Times New Roman" w:eastAsiaTheme="minorHAnsi" w:hAnsi="Times New Roman"/>
          <w:sz w:val="22"/>
          <w:szCs w:val="22"/>
        </w:rPr>
        <w:t>od</w:t>
      </w:r>
      <w:r w:rsidRPr="008E6664">
        <w:rPr>
          <w:rFonts w:ascii="Times New Roman" w:eastAsiaTheme="minorHAnsi" w:hAnsi="Times New Roman"/>
          <w:sz w:val="22"/>
          <w:szCs w:val="22"/>
        </w:rPr>
        <w:t xml:space="preserve"> dvije godine od dana izvršnosti rješenja o komunalnom doprinosu, uz uvjet da ukupna utvrđena obveza rješenjem prelazi iznos od 500,00 kuna, o čemu se u postupku izjašnjava.</w:t>
      </w:r>
    </w:p>
    <w:p w14:paraId="5B7AA669" w14:textId="77777777" w:rsidR="00300F3F" w:rsidRDefault="00300F3F" w:rsidP="00813B31">
      <w:pPr>
        <w:spacing w:line="259" w:lineRule="auto"/>
        <w:jc w:val="both"/>
        <w:rPr>
          <w:rFonts w:ascii="Times New Roman" w:eastAsiaTheme="minorHAnsi" w:hAnsi="Times New Roman"/>
          <w:sz w:val="22"/>
          <w:szCs w:val="22"/>
        </w:rPr>
      </w:pPr>
      <w:r w:rsidRPr="008E6664">
        <w:rPr>
          <w:rFonts w:ascii="Times New Roman" w:eastAsiaTheme="minorHAnsi" w:hAnsi="Times New Roman"/>
          <w:sz w:val="22"/>
          <w:szCs w:val="22"/>
        </w:rPr>
        <w:t>Kod plaćanja komunalnog doprinosa na obroke prvi obrok ne može biti manji od 30% ukupne obveze</w:t>
      </w:r>
      <w:r>
        <w:rPr>
          <w:rFonts w:ascii="Times New Roman" w:eastAsiaTheme="minorHAnsi" w:hAnsi="Times New Roman"/>
          <w:sz w:val="22"/>
          <w:szCs w:val="22"/>
        </w:rPr>
        <w:t xml:space="preserve"> te preostali obroci ne mogu biti manji od 3</w:t>
      </w:r>
      <w:r w:rsidR="004C1E5D">
        <w:rPr>
          <w:rFonts w:ascii="Times New Roman" w:eastAsiaTheme="minorHAnsi" w:hAnsi="Times New Roman"/>
          <w:sz w:val="22"/>
          <w:szCs w:val="22"/>
        </w:rPr>
        <w:t>0</w:t>
      </w:r>
      <w:r>
        <w:rPr>
          <w:rFonts w:ascii="Times New Roman" w:eastAsiaTheme="minorHAnsi" w:hAnsi="Times New Roman"/>
          <w:sz w:val="22"/>
          <w:szCs w:val="22"/>
        </w:rPr>
        <w:t>0,00 kn neto.</w:t>
      </w:r>
    </w:p>
    <w:p w14:paraId="0B4EF73E" w14:textId="77777777" w:rsidR="00300F3F" w:rsidRPr="008E6664" w:rsidRDefault="00300F3F" w:rsidP="00300F3F">
      <w:pPr>
        <w:spacing w:line="259" w:lineRule="auto"/>
        <w:jc w:val="both"/>
        <w:rPr>
          <w:rFonts w:ascii="Times New Roman" w:eastAsiaTheme="minorHAnsi" w:hAnsi="Times New Roman"/>
          <w:sz w:val="22"/>
          <w:szCs w:val="22"/>
        </w:rPr>
      </w:pPr>
    </w:p>
    <w:p w14:paraId="6F6FCAFB" w14:textId="77777777" w:rsidR="00300F3F" w:rsidRDefault="00300F3F" w:rsidP="00300F3F">
      <w:pPr>
        <w:numPr>
          <w:ilvl w:val="0"/>
          <w:numId w:val="1"/>
        </w:numPr>
        <w:spacing w:line="259" w:lineRule="auto"/>
        <w:contextualSpacing/>
        <w:rPr>
          <w:rFonts w:ascii="Times New Roman" w:eastAsiaTheme="minorHAnsi" w:hAnsi="Times New Roman"/>
          <w:b/>
          <w:bCs/>
          <w:sz w:val="22"/>
          <w:szCs w:val="22"/>
        </w:rPr>
      </w:pPr>
      <w:bookmarkStart w:id="0" w:name="_Hlk44658729"/>
      <w:r w:rsidRPr="008E6664">
        <w:rPr>
          <w:rFonts w:ascii="Times New Roman" w:hAnsi="Times New Roman"/>
          <w:b/>
          <w:bCs/>
          <w:sz w:val="22"/>
          <w:szCs w:val="22"/>
          <w:lang w:eastAsia="hr-HR"/>
        </w:rPr>
        <w:t>OSLOBAĐ</w:t>
      </w:r>
      <w:r w:rsidR="00765CD5">
        <w:rPr>
          <w:rFonts w:ascii="Times New Roman" w:hAnsi="Times New Roman"/>
          <w:b/>
          <w:bCs/>
          <w:sz w:val="22"/>
          <w:szCs w:val="22"/>
          <w:lang w:eastAsia="hr-HR"/>
        </w:rPr>
        <w:t>A</w:t>
      </w:r>
      <w:r w:rsidR="007F57AD">
        <w:rPr>
          <w:rFonts w:ascii="Times New Roman" w:hAnsi="Times New Roman"/>
          <w:b/>
          <w:bCs/>
          <w:sz w:val="22"/>
          <w:szCs w:val="22"/>
          <w:lang w:eastAsia="hr-HR"/>
        </w:rPr>
        <w:t>NJE</w:t>
      </w:r>
      <w:r w:rsidRPr="008E6664">
        <w:rPr>
          <w:rFonts w:ascii="Times New Roman" w:hAnsi="Times New Roman"/>
          <w:b/>
          <w:bCs/>
          <w:sz w:val="22"/>
          <w:szCs w:val="22"/>
          <w:lang w:eastAsia="hr-HR"/>
        </w:rPr>
        <w:t xml:space="preserve"> OD PLAĆANJA KOMUNALNOG DOPRINOSA</w:t>
      </w:r>
      <w:r w:rsidRPr="008E6664">
        <w:rPr>
          <w:rFonts w:ascii="Times New Roman" w:eastAsiaTheme="minorHAnsi" w:hAnsi="Times New Roman"/>
          <w:b/>
          <w:bCs/>
          <w:sz w:val="22"/>
          <w:szCs w:val="22"/>
        </w:rPr>
        <w:t xml:space="preserve"> </w:t>
      </w:r>
    </w:p>
    <w:bookmarkEnd w:id="0"/>
    <w:p w14:paraId="2ECAE7A3" w14:textId="77777777" w:rsidR="00300F3F" w:rsidRPr="008E6664" w:rsidRDefault="00300F3F" w:rsidP="00300F3F">
      <w:pPr>
        <w:spacing w:line="259" w:lineRule="auto"/>
        <w:ind w:left="1080"/>
        <w:contextualSpacing/>
        <w:rPr>
          <w:rFonts w:ascii="Times New Roman" w:eastAsiaTheme="minorHAnsi" w:hAnsi="Times New Roman"/>
          <w:b/>
          <w:bCs/>
          <w:sz w:val="22"/>
          <w:szCs w:val="22"/>
        </w:rPr>
      </w:pPr>
    </w:p>
    <w:p w14:paraId="392513C9" w14:textId="77777777" w:rsidR="00300F3F" w:rsidRPr="008E6664" w:rsidRDefault="00300F3F" w:rsidP="00300F3F">
      <w:pPr>
        <w:spacing w:line="259" w:lineRule="auto"/>
        <w:jc w:val="center"/>
        <w:rPr>
          <w:rFonts w:ascii="Times New Roman" w:eastAsiaTheme="minorHAnsi" w:hAnsi="Times New Roman"/>
          <w:sz w:val="22"/>
          <w:szCs w:val="22"/>
        </w:rPr>
      </w:pPr>
      <w:r w:rsidRPr="008E6664">
        <w:rPr>
          <w:rFonts w:ascii="Times New Roman" w:eastAsiaTheme="minorHAnsi" w:hAnsi="Times New Roman"/>
          <w:sz w:val="22"/>
          <w:szCs w:val="22"/>
        </w:rPr>
        <w:t>Članak 6.</w:t>
      </w:r>
    </w:p>
    <w:p w14:paraId="5E74C901" w14:textId="77777777" w:rsidR="00300F3F" w:rsidRPr="008E6664" w:rsidRDefault="00300F3F" w:rsidP="00300F3F">
      <w:pPr>
        <w:rPr>
          <w:rFonts w:ascii="Times New Roman" w:hAnsi="Times New Roman"/>
          <w:sz w:val="22"/>
          <w:szCs w:val="22"/>
          <w:lang w:eastAsia="hr-HR"/>
        </w:rPr>
      </w:pPr>
      <w:r w:rsidRPr="008E6664">
        <w:rPr>
          <w:rFonts w:ascii="Times New Roman" w:hAnsi="Times New Roman"/>
          <w:sz w:val="22"/>
          <w:szCs w:val="22"/>
          <w:lang w:eastAsia="hr-HR"/>
        </w:rPr>
        <w:t>Komunalni doprinos ne plaća se na sljedeće nekretnine:</w:t>
      </w:r>
    </w:p>
    <w:p w14:paraId="4150140A" w14:textId="77777777" w:rsidR="00300F3F" w:rsidRPr="008E6664" w:rsidRDefault="00300F3F" w:rsidP="00300F3F">
      <w:pPr>
        <w:rPr>
          <w:rFonts w:ascii="Times New Roman" w:hAnsi="Times New Roman"/>
          <w:sz w:val="22"/>
          <w:szCs w:val="22"/>
          <w:lang w:eastAsia="hr-HR"/>
        </w:rPr>
      </w:pPr>
    </w:p>
    <w:p w14:paraId="381D93F5" w14:textId="77777777" w:rsidR="00300F3F" w:rsidRPr="008E6664" w:rsidRDefault="00300F3F" w:rsidP="00300F3F">
      <w:pPr>
        <w:pStyle w:val="Odlomakpopisa"/>
        <w:numPr>
          <w:ilvl w:val="0"/>
          <w:numId w:val="4"/>
        </w:numPr>
        <w:spacing w:line="259" w:lineRule="auto"/>
        <w:rPr>
          <w:rFonts w:ascii="Times New Roman" w:hAnsi="Times New Roman"/>
          <w:sz w:val="22"/>
          <w:szCs w:val="22"/>
          <w:lang w:eastAsia="hr-HR"/>
        </w:rPr>
      </w:pPr>
      <w:r w:rsidRPr="008E6664">
        <w:rPr>
          <w:rFonts w:ascii="Times New Roman" w:hAnsi="Times New Roman"/>
          <w:sz w:val="22"/>
          <w:szCs w:val="22"/>
          <w:lang w:eastAsia="hr-HR"/>
        </w:rPr>
        <w:t>nekretnine (zgrade i zemljišta) u vlasništvu Općine Ernestinovo</w:t>
      </w:r>
    </w:p>
    <w:p w14:paraId="61C1ED0D" w14:textId="77777777" w:rsidR="00300F3F" w:rsidRPr="008E6664" w:rsidRDefault="00300F3F" w:rsidP="00300F3F">
      <w:pPr>
        <w:pStyle w:val="Odlomakpopisa"/>
        <w:numPr>
          <w:ilvl w:val="0"/>
          <w:numId w:val="4"/>
        </w:numPr>
        <w:spacing w:line="259" w:lineRule="auto"/>
        <w:rPr>
          <w:rFonts w:ascii="Times New Roman" w:hAnsi="Times New Roman"/>
          <w:sz w:val="22"/>
          <w:szCs w:val="22"/>
          <w:lang w:eastAsia="hr-HR"/>
        </w:rPr>
      </w:pPr>
      <w:r w:rsidRPr="008E6664">
        <w:rPr>
          <w:rFonts w:ascii="Times New Roman" w:hAnsi="Times New Roman"/>
          <w:sz w:val="22"/>
          <w:szCs w:val="22"/>
          <w:lang w:eastAsia="hr-HR"/>
        </w:rPr>
        <w:t>nekretnine u kojima se obavlja djelatnost koja se pretežito financira iz proračuna Općine Ernestinovo</w:t>
      </w:r>
    </w:p>
    <w:p w14:paraId="67AFFDC3" w14:textId="77777777" w:rsidR="00300F3F" w:rsidRPr="008E6664" w:rsidRDefault="00300F3F" w:rsidP="00300F3F">
      <w:pPr>
        <w:pStyle w:val="Odlomakpopisa"/>
        <w:numPr>
          <w:ilvl w:val="0"/>
          <w:numId w:val="4"/>
        </w:numPr>
        <w:spacing w:line="259" w:lineRule="auto"/>
        <w:rPr>
          <w:rFonts w:ascii="Times New Roman" w:hAnsi="Times New Roman"/>
          <w:sz w:val="22"/>
          <w:szCs w:val="22"/>
          <w:lang w:eastAsia="hr-HR"/>
        </w:rPr>
      </w:pPr>
      <w:r w:rsidRPr="008E6664">
        <w:rPr>
          <w:rFonts w:ascii="Times New Roman" w:hAnsi="Times New Roman"/>
          <w:sz w:val="22"/>
          <w:szCs w:val="22"/>
          <w:lang w:eastAsia="hr-HR"/>
        </w:rPr>
        <w:t>zgrade i zemljišta osnovnih škola</w:t>
      </w:r>
    </w:p>
    <w:p w14:paraId="65A70D36" w14:textId="77777777" w:rsidR="00300F3F" w:rsidRPr="008E6664" w:rsidRDefault="00300F3F" w:rsidP="00300F3F">
      <w:pPr>
        <w:pStyle w:val="Odlomakpopisa"/>
        <w:numPr>
          <w:ilvl w:val="0"/>
          <w:numId w:val="4"/>
        </w:numPr>
        <w:spacing w:line="259" w:lineRule="auto"/>
        <w:rPr>
          <w:rFonts w:ascii="Times New Roman" w:hAnsi="Times New Roman"/>
          <w:sz w:val="22"/>
          <w:szCs w:val="22"/>
          <w:lang w:eastAsia="hr-HR"/>
        </w:rPr>
      </w:pPr>
      <w:r w:rsidRPr="008E6664">
        <w:rPr>
          <w:rFonts w:ascii="Times New Roman" w:hAnsi="Times New Roman"/>
          <w:sz w:val="22"/>
          <w:szCs w:val="22"/>
          <w:lang w:eastAsia="hr-HR"/>
        </w:rPr>
        <w:t>zgrade i zemljišta sakralnih objekata, koji služe za bogoslužje</w:t>
      </w:r>
    </w:p>
    <w:p w14:paraId="54B2B59F" w14:textId="77777777" w:rsidR="00300F3F" w:rsidRPr="008E6664" w:rsidRDefault="00300F3F" w:rsidP="00300F3F">
      <w:pPr>
        <w:pStyle w:val="Odlomakpopisa"/>
        <w:numPr>
          <w:ilvl w:val="0"/>
          <w:numId w:val="4"/>
        </w:numPr>
        <w:spacing w:line="259" w:lineRule="auto"/>
        <w:rPr>
          <w:rFonts w:ascii="Times New Roman" w:hAnsi="Times New Roman"/>
          <w:sz w:val="22"/>
          <w:szCs w:val="22"/>
          <w:lang w:eastAsia="hr-HR"/>
        </w:rPr>
      </w:pPr>
      <w:r w:rsidRPr="008E6664">
        <w:rPr>
          <w:rFonts w:ascii="Times New Roman" w:hAnsi="Times New Roman"/>
          <w:sz w:val="22"/>
          <w:szCs w:val="22"/>
          <w:lang w:eastAsia="hr-HR"/>
        </w:rPr>
        <w:t>zgrade i zemljišta dobrovoljnih vatrogasnih društava</w:t>
      </w:r>
    </w:p>
    <w:p w14:paraId="66EE68E7" w14:textId="77777777" w:rsidR="00300F3F" w:rsidRPr="008E6664" w:rsidRDefault="00300F3F" w:rsidP="00300F3F">
      <w:pPr>
        <w:pStyle w:val="Odlomakpopisa"/>
        <w:numPr>
          <w:ilvl w:val="0"/>
          <w:numId w:val="4"/>
        </w:numPr>
        <w:spacing w:line="259" w:lineRule="auto"/>
        <w:rPr>
          <w:rFonts w:ascii="Times New Roman" w:hAnsi="Times New Roman"/>
          <w:sz w:val="22"/>
          <w:szCs w:val="22"/>
          <w:lang w:eastAsia="hr-HR"/>
        </w:rPr>
      </w:pPr>
      <w:r w:rsidRPr="008E6664">
        <w:rPr>
          <w:rFonts w:ascii="Times New Roman" w:hAnsi="Times New Roman"/>
          <w:sz w:val="22"/>
          <w:szCs w:val="22"/>
          <w:lang w:eastAsia="hr-HR"/>
        </w:rPr>
        <w:t>zgrade i zemljišta društvenih domova</w:t>
      </w:r>
    </w:p>
    <w:p w14:paraId="633B6572" w14:textId="77777777" w:rsidR="00300F3F" w:rsidRPr="008E6664" w:rsidRDefault="00300F3F" w:rsidP="00300F3F">
      <w:pPr>
        <w:pStyle w:val="Odlomakpopisa"/>
        <w:numPr>
          <w:ilvl w:val="0"/>
          <w:numId w:val="4"/>
        </w:numPr>
        <w:spacing w:line="259" w:lineRule="auto"/>
        <w:rPr>
          <w:rFonts w:ascii="Times New Roman" w:hAnsi="Times New Roman"/>
          <w:sz w:val="22"/>
          <w:szCs w:val="22"/>
          <w:lang w:eastAsia="hr-HR"/>
        </w:rPr>
      </w:pPr>
      <w:r w:rsidRPr="008E6664">
        <w:rPr>
          <w:rFonts w:ascii="Times New Roman" w:hAnsi="Times New Roman"/>
          <w:sz w:val="22"/>
          <w:szCs w:val="22"/>
          <w:lang w:eastAsia="hr-HR"/>
        </w:rPr>
        <w:t xml:space="preserve">groblja </w:t>
      </w:r>
    </w:p>
    <w:p w14:paraId="78AFA618" w14:textId="77777777" w:rsidR="00300F3F" w:rsidRDefault="00300F3F" w:rsidP="00300F3F">
      <w:pPr>
        <w:pStyle w:val="Odlomakpopisa"/>
        <w:numPr>
          <w:ilvl w:val="0"/>
          <w:numId w:val="4"/>
        </w:numPr>
        <w:spacing w:after="160" w:line="259" w:lineRule="auto"/>
        <w:rPr>
          <w:rFonts w:ascii="Times New Roman" w:hAnsi="Times New Roman"/>
          <w:sz w:val="22"/>
          <w:szCs w:val="22"/>
          <w:lang w:eastAsia="hr-HR"/>
        </w:rPr>
      </w:pPr>
      <w:r w:rsidRPr="008E6664">
        <w:rPr>
          <w:rFonts w:ascii="Times New Roman" w:hAnsi="Times New Roman"/>
          <w:sz w:val="22"/>
          <w:szCs w:val="22"/>
          <w:lang w:eastAsia="hr-HR"/>
        </w:rPr>
        <w:t>javne prometne površine</w:t>
      </w:r>
    </w:p>
    <w:p w14:paraId="0583E534" w14:textId="77777777" w:rsidR="007F57AD" w:rsidRPr="007F57AD" w:rsidRDefault="007F57AD" w:rsidP="007F57AD">
      <w:pPr>
        <w:spacing w:after="160" w:line="259" w:lineRule="auto"/>
        <w:jc w:val="center"/>
        <w:rPr>
          <w:rFonts w:ascii="Times New Roman" w:hAnsi="Times New Roman"/>
          <w:sz w:val="22"/>
          <w:szCs w:val="22"/>
          <w:lang w:eastAsia="hr-HR"/>
        </w:rPr>
      </w:pPr>
      <w:r>
        <w:rPr>
          <w:rFonts w:ascii="Times New Roman" w:hAnsi="Times New Roman"/>
          <w:sz w:val="22"/>
          <w:szCs w:val="22"/>
          <w:lang w:eastAsia="hr-HR"/>
        </w:rPr>
        <w:t>Članak 7.</w:t>
      </w:r>
    </w:p>
    <w:p w14:paraId="2FFCA062" w14:textId="5E50E830" w:rsidR="007F57AD" w:rsidRDefault="007F57AD" w:rsidP="007F57AD">
      <w:pPr>
        <w:spacing w:after="160" w:line="259" w:lineRule="auto"/>
        <w:jc w:val="both"/>
        <w:rPr>
          <w:rFonts w:ascii="Times New Roman" w:hAnsi="Times New Roman"/>
          <w:sz w:val="22"/>
          <w:szCs w:val="22"/>
          <w:lang w:eastAsia="hr-HR"/>
        </w:rPr>
      </w:pPr>
      <w:r w:rsidRPr="007F57AD">
        <w:rPr>
          <w:rFonts w:ascii="Times New Roman" w:hAnsi="Times New Roman"/>
          <w:sz w:val="22"/>
          <w:szCs w:val="22"/>
          <w:lang w:eastAsia="hr-HR"/>
        </w:rPr>
        <w:t xml:space="preserve">Radi poticanja proširenja i otvaranja novih proizvodnih pogona na području </w:t>
      </w:r>
      <w:r>
        <w:rPr>
          <w:rFonts w:ascii="Times New Roman" w:hAnsi="Times New Roman"/>
          <w:sz w:val="22"/>
          <w:szCs w:val="22"/>
          <w:lang w:eastAsia="hr-HR"/>
        </w:rPr>
        <w:t xml:space="preserve">Općine Ernestinovo </w:t>
      </w:r>
      <w:r w:rsidRPr="007F57AD">
        <w:rPr>
          <w:rFonts w:ascii="Times New Roman" w:hAnsi="Times New Roman"/>
          <w:sz w:val="22"/>
          <w:szCs w:val="22"/>
          <w:lang w:eastAsia="hr-HR"/>
        </w:rPr>
        <w:t xml:space="preserve">investitori koji grade građevine namijenjene proizvodnji ostvaruju pravo na oslobođenje od plaćanja komunalnog doprinosa u svim zonama u visini </w:t>
      </w:r>
      <w:r w:rsidR="00F10889">
        <w:rPr>
          <w:rFonts w:ascii="Times New Roman" w:hAnsi="Times New Roman"/>
          <w:sz w:val="22"/>
          <w:szCs w:val="22"/>
          <w:lang w:eastAsia="hr-HR"/>
        </w:rPr>
        <w:t>2</w:t>
      </w:r>
      <w:r>
        <w:rPr>
          <w:rFonts w:ascii="Times New Roman" w:hAnsi="Times New Roman"/>
          <w:sz w:val="22"/>
          <w:szCs w:val="22"/>
          <w:lang w:eastAsia="hr-HR"/>
        </w:rPr>
        <w:t>0</w:t>
      </w:r>
      <w:r w:rsidRPr="007F57AD">
        <w:rPr>
          <w:rFonts w:ascii="Times New Roman" w:hAnsi="Times New Roman"/>
          <w:sz w:val="22"/>
          <w:szCs w:val="22"/>
          <w:lang w:eastAsia="hr-HR"/>
        </w:rPr>
        <w:t>% jedinične vrijednosti komunalnog doprinosa.</w:t>
      </w:r>
    </w:p>
    <w:p w14:paraId="09A194B0" w14:textId="3CD9D345" w:rsidR="007F57AD" w:rsidRDefault="007F57AD" w:rsidP="007F57AD">
      <w:pPr>
        <w:spacing w:after="160" w:line="259" w:lineRule="auto"/>
        <w:jc w:val="both"/>
        <w:rPr>
          <w:rFonts w:ascii="Times New Roman" w:hAnsi="Times New Roman"/>
          <w:sz w:val="22"/>
          <w:szCs w:val="22"/>
          <w:lang w:eastAsia="hr-HR"/>
        </w:rPr>
      </w:pPr>
      <w:r w:rsidRPr="007F57AD">
        <w:rPr>
          <w:rFonts w:ascii="Times New Roman" w:hAnsi="Times New Roman"/>
          <w:sz w:val="22"/>
          <w:szCs w:val="22"/>
          <w:lang w:eastAsia="hr-HR"/>
        </w:rPr>
        <w:t xml:space="preserve">Radi razvijanja poljoprivredne proizvodnje na području </w:t>
      </w:r>
      <w:r>
        <w:rPr>
          <w:rFonts w:ascii="Times New Roman" w:hAnsi="Times New Roman"/>
          <w:sz w:val="22"/>
          <w:szCs w:val="22"/>
          <w:lang w:eastAsia="hr-HR"/>
        </w:rPr>
        <w:t xml:space="preserve">Općine Ernestinovo </w:t>
      </w:r>
      <w:r w:rsidRPr="007F57AD">
        <w:rPr>
          <w:rFonts w:ascii="Times New Roman" w:hAnsi="Times New Roman"/>
          <w:sz w:val="22"/>
          <w:szCs w:val="22"/>
          <w:lang w:eastAsia="hr-HR"/>
        </w:rPr>
        <w:t>investitori koji grade</w:t>
      </w:r>
      <w:r>
        <w:rPr>
          <w:rFonts w:ascii="Times New Roman" w:hAnsi="Times New Roman"/>
          <w:sz w:val="22"/>
          <w:szCs w:val="22"/>
          <w:lang w:eastAsia="hr-HR"/>
        </w:rPr>
        <w:t xml:space="preserve"> </w:t>
      </w:r>
      <w:r w:rsidRPr="007F57AD">
        <w:rPr>
          <w:rFonts w:ascii="Times New Roman" w:hAnsi="Times New Roman"/>
          <w:sz w:val="22"/>
          <w:szCs w:val="22"/>
          <w:lang w:eastAsia="hr-HR"/>
        </w:rPr>
        <w:t xml:space="preserve">objekte za poljoprivrednu proizvodnju ostvaruju pravo na oslobođenje od plaćanja komunalnog doprinosa </w:t>
      </w:r>
      <w:r>
        <w:rPr>
          <w:rFonts w:ascii="Times New Roman" w:hAnsi="Times New Roman"/>
          <w:sz w:val="22"/>
          <w:szCs w:val="22"/>
          <w:lang w:eastAsia="hr-HR"/>
        </w:rPr>
        <w:t xml:space="preserve">u I. </w:t>
      </w:r>
      <w:r w:rsidR="00F10889">
        <w:rPr>
          <w:rFonts w:ascii="Times New Roman" w:hAnsi="Times New Roman"/>
          <w:sz w:val="22"/>
          <w:szCs w:val="22"/>
          <w:lang w:eastAsia="hr-HR"/>
        </w:rPr>
        <w:t>zoni u visini 40% te u</w:t>
      </w:r>
      <w:r>
        <w:rPr>
          <w:rFonts w:ascii="Times New Roman" w:hAnsi="Times New Roman"/>
          <w:sz w:val="22"/>
          <w:szCs w:val="22"/>
          <w:lang w:eastAsia="hr-HR"/>
        </w:rPr>
        <w:t xml:space="preserve"> II. </w:t>
      </w:r>
      <w:r w:rsidR="004C1E5D">
        <w:rPr>
          <w:rFonts w:ascii="Times New Roman" w:hAnsi="Times New Roman"/>
          <w:sz w:val="22"/>
          <w:szCs w:val="22"/>
          <w:lang w:eastAsia="hr-HR"/>
        </w:rPr>
        <w:t>i</w:t>
      </w:r>
      <w:r w:rsidR="00F10889">
        <w:rPr>
          <w:rFonts w:ascii="Times New Roman" w:hAnsi="Times New Roman"/>
          <w:sz w:val="22"/>
          <w:szCs w:val="22"/>
          <w:lang w:eastAsia="hr-HR"/>
        </w:rPr>
        <w:t xml:space="preserve"> III. zoni</w:t>
      </w:r>
      <w:r>
        <w:rPr>
          <w:rFonts w:ascii="Times New Roman" w:hAnsi="Times New Roman"/>
          <w:sz w:val="22"/>
          <w:szCs w:val="22"/>
          <w:lang w:eastAsia="hr-HR"/>
        </w:rPr>
        <w:t xml:space="preserve"> </w:t>
      </w:r>
      <w:r w:rsidRPr="007F57AD">
        <w:rPr>
          <w:rFonts w:ascii="Times New Roman" w:hAnsi="Times New Roman"/>
          <w:sz w:val="22"/>
          <w:szCs w:val="22"/>
          <w:lang w:eastAsia="hr-HR"/>
        </w:rPr>
        <w:t xml:space="preserve">u visini </w:t>
      </w:r>
      <w:r w:rsidR="00F10889">
        <w:rPr>
          <w:rFonts w:ascii="Times New Roman" w:hAnsi="Times New Roman"/>
          <w:sz w:val="22"/>
          <w:szCs w:val="22"/>
          <w:lang w:eastAsia="hr-HR"/>
        </w:rPr>
        <w:t>30</w:t>
      </w:r>
      <w:r w:rsidRPr="007F57AD">
        <w:rPr>
          <w:rFonts w:ascii="Times New Roman" w:hAnsi="Times New Roman"/>
          <w:sz w:val="22"/>
          <w:szCs w:val="22"/>
          <w:lang w:eastAsia="hr-HR"/>
        </w:rPr>
        <w:t>%</w:t>
      </w:r>
      <w:r w:rsidR="00F10889">
        <w:rPr>
          <w:rFonts w:ascii="Times New Roman" w:hAnsi="Times New Roman"/>
          <w:sz w:val="22"/>
          <w:szCs w:val="22"/>
          <w:lang w:eastAsia="hr-HR"/>
        </w:rPr>
        <w:t xml:space="preserve"> visine </w:t>
      </w:r>
      <w:r w:rsidRPr="007F57AD">
        <w:rPr>
          <w:rFonts w:ascii="Times New Roman" w:hAnsi="Times New Roman"/>
          <w:sz w:val="22"/>
          <w:szCs w:val="22"/>
          <w:lang w:eastAsia="hr-HR"/>
        </w:rPr>
        <w:t>jedinične vrijednosti komunalnog doprinosa</w:t>
      </w:r>
      <w:r w:rsidR="00F10889">
        <w:rPr>
          <w:rFonts w:ascii="Times New Roman" w:hAnsi="Times New Roman"/>
          <w:sz w:val="22"/>
          <w:szCs w:val="22"/>
          <w:lang w:eastAsia="hr-HR"/>
        </w:rPr>
        <w:t>.</w:t>
      </w:r>
    </w:p>
    <w:p w14:paraId="16D1E98C" w14:textId="0A29EC4B" w:rsidR="007F57AD" w:rsidRPr="007F57AD" w:rsidRDefault="007F57AD" w:rsidP="007F57AD">
      <w:pPr>
        <w:spacing w:after="160" w:line="259" w:lineRule="auto"/>
        <w:jc w:val="both"/>
        <w:rPr>
          <w:rFonts w:ascii="Times New Roman" w:hAnsi="Times New Roman"/>
          <w:sz w:val="22"/>
          <w:szCs w:val="22"/>
          <w:lang w:eastAsia="hr-HR"/>
        </w:rPr>
      </w:pPr>
      <w:r w:rsidRPr="007F57AD">
        <w:rPr>
          <w:rFonts w:ascii="Times New Roman" w:hAnsi="Times New Roman"/>
          <w:sz w:val="22"/>
          <w:szCs w:val="22"/>
          <w:lang w:eastAsia="hr-HR"/>
        </w:rPr>
        <w:lastRenderedPageBreak/>
        <w:t>O djelomičnom oslobađanju od plaćanja komunalnog doprinosa ne donosi se posebno rješenje već se djelomično oslobođenje vrši putem rješenja o komunalnom doprinosu koje donosi nadležni upravni odjel.</w:t>
      </w:r>
    </w:p>
    <w:p w14:paraId="0DF96FE3" w14:textId="77777777" w:rsidR="00300F3F" w:rsidRPr="008E6664" w:rsidRDefault="00300F3F" w:rsidP="00300F3F">
      <w:pPr>
        <w:rPr>
          <w:rFonts w:ascii="Times New Roman" w:hAnsi="Times New Roman"/>
          <w:sz w:val="22"/>
          <w:szCs w:val="22"/>
          <w:lang w:eastAsia="hr-HR"/>
        </w:rPr>
      </w:pPr>
    </w:p>
    <w:p w14:paraId="35460AA4" w14:textId="77777777" w:rsidR="00300F3F" w:rsidRDefault="00300F3F" w:rsidP="00300F3F">
      <w:pPr>
        <w:numPr>
          <w:ilvl w:val="0"/>
          <w:numId w:val="1"/>
        </w:numPr>
        <w:spacing w:after="160" w:line="259" w:lineRule="auto"/>
        <w:contextualSpacing/>
        <w:jc w:val="both"/>
        <w:rPr>
          <w:rFonts w:ascii="Times New Roman" w:eastAsiaTheme="minorHAnsi" w:hAnsi="Times New Roman"/>
          <w:b/>
          <w:bCs/>
          <w:sz w:val="22"/>
          <w:szCs w:val="22"/>
        </w:rPr>
      </w:pPr>
      <w:bookmarkStart w:id="1" w:name="_Hlk44658811"/>
      <w:r w:rsidRPr="008E6664">
        <w:rPr>
          <w:rFonts w:ascii="Times New Roman" w:eastAsiaTheme="minorHAnsi" w:hAnsi="Times New Roman"/>
          <w:b/>
          <w:bCs/>
          <w:sz w:val="22"/>
          <w:szCs w:val="22"/>
        </w:rPr>
        <w:t>NADLEŽNOST ZA POSTUPANJE</w:t>
      </w:r>
    </w:p>
    <w:bookmarkEnd w:id="1"/>
    <w:p w14:paraId="5B1311BD" w14:textId="77777777" w:rsidR="00300F3F" w:rsidRPr="008E6664" w:rsidRDefault="00300F3F" w:rsidP="00300F3F">
      <w:pPr>
        <w:spacing w:after="160" w:line="259" w:lineRule="auto"/>
        <w:ind w:left="360"/>
        <w:contextualSpacing/>
        <w:jc w:val="both"/>
        <w:rPr>
          <w:rFonts w:ascii="Times New Roman" w:eastAsiaTheme="minorHAnsi" w:hAnsi="Times New Roman"/>
          <w:b/>
          <w:bCs/>
          <w:sz w:val="22"/>
          <w:szCs w:val="22"/>
        </w:rPr>
      </w:pPr>
    </w:p>
    <w:p w14:paraId="059C698A" w14:textId="77777777" w:rsidR="00300F3F" w:rsidRPr="008E6664" w:rsidRDefault="00300F3F" w:rsidP="00300F3F">
      <w:pPr>
        <w:spacing w:line="259" w:lineRule="auto"/>
        <w:jc w:val="center"/>
        <w:rPr>
          <w:rFonts w:ascii="Times New Roman" w:eastAsiaTheme="minorHAnsi" w:hAnsi="Times New Roman"/>
          <w:sz w:val="22"/>
          <w:szCs w:val="22"/>
        </w:rPr>
      </w:pPr>
      <w:r w:rsidRPr="008E6664">
        <w:rPr>
          <w:rFonts w:ascii="Times New Roman" w:eastAsiaTheme="minorHAnsi" w:hAnsi="Times New Roman"/>
          <w:sz w:val="22"/>
          <w:szCs w:val="22"/>
        </w:rPr>
        <w:t>Članak 7.</w:t>
      </w:r>
    </w:p>
    <w:p w14:paraId="5C89797F" w14:textId="77777777" w:rsidR="00300F3F" w:rsidRPr="008E6664" w:rsidRDefault="00300F3F" w:rsidP="00300F3F">
      <w:pPr>
        <w:spacing w:line="259" w:lineRule="auto"/>
        <w:rPr>
          <w:rFonts w:ascii="Times New Roman" w:eastAsiaTheme="minorHAnsi" w:hAnsi="Times New Roman"/>
          <w:sz w:val="22"/>
          <w:szCs w:val="22"/>
        </w:rPr>
      </w:pPr>
      <w:r w:rsidRPr="008E6664">
        <w:rPr>
          <w:rFonts w:ascii="Times New Roman" w:eastAsiaTheme="minorHAnsi" w:hAnsi="Times New Roman"/>
          <w:sz w:val="22"/>
          <w:szCs w:val="22"/>
        </w:rPr>
        <w:t>Za provedbu ove odluke nadležan je Jedinstveni upravni odjel.</w:t>
      </w:r>
    </w:p>
    <w:p w14:paraId="2106D6FA" w14:textId="77777777" w:rsidR="00300F3F" w:rsidRPr="008E6664" w:rsidRDefault="00300F3F" w:rsidP="00300F3F">
      <w:pPr>
        <w:spacing w:line="259" w:lineRule="auto"/>
        <w:rPr>
          <w:rFonts w:ascii="Times New Roman" w:eastAsiaTheme="minorHAnsi" w:hAnsi="Times New Roman"/>
          <w:sz w:val="22"/>
          <w:szCs w:val="22"/>
        </w:rPr>
      </w:pPr>
      <w:r w:rsidRPr="008E6664">
        <w:rPr>
          <w:rFonts w:ascii="Times New Roman" w:eastAsiaTheme="minorHAnsi" w:hAnsi="Times New Roman"/>
          <w:sz w:val="22"/>
          <w:szCs w:val="22"/>
        </w:rPr>
        <w:t>U provedbi ove odluke Jedinstveni upravni odjel donosi rješenja i zaključke kada odlučuje u sljedećim postupcima:</w:t>
      </w:r>
    </w:p>
    <w:p w14:paraId="1E72067F" w14:textId="77777777" w:rsidR="00300F3F" w:rsidRPr="000E0F83" w:rsidRDefault="00300F3F" w:rsidP="00300F3F">
      <w:pPr>
        <w:pStyle w:val="Odlomakpopisa"/>
        <w:numPr>
          <w:ilvl w:val="0"/>
          <w:numId w:val="5"/>
        </w:numPr>
        <w:spacing w:line="259" w:lineRule="auto"/>
        <w:rPr>
          <w:rFonts w:ascii="Times New Roman" w:eastAsiaTheme="minorHAnsi" w:hAnsi="Times New Roman"/>
          <w:sz w:val="22"/>
          <w:szCs w:val="22"/>
        </w:rPr>
      </w:pPr>
      <w:r w:rsidRPr="000E0F83">
        <w:rPr>
          <w:rFonts w:ascii="Times New Roman" w:eastAsiaTheme="minorHAnsi" w:hAnsi="Times New Roman"/>
          <w:sz w:val="22"/>
          <w:szCs w:val="22"/>
        </w:rPr>
        <w:t>u postupku utvrđivanja obveze plaćanja komunalnog doprinosa, kojim se utvrđuje visina obveze</w:t>
      </w:r>
    </w:p>
    <w:p w14:paraId="176FE92A" w14:textId="77777777" w:rsidR="00300F3F" w:rsidRPr="000E0F83" w:rsidRDefault="00300F3F" w:rsidP="00300F3F">
      <w:pPr>
        <w:pStyle w:val="Odlomakpopisa"/>
        <w:numPr>
          <w:ilvl w:val="0"/>
          <w:numId w:val="5"/>
        </w:numPr>
        <w:spacing w:line="259" w:lineRule="auto"/>
        <w:rPr>
          <w:rFonts w:ascii="Times New Roman" w:eastAsiaTheme="minorHAnsi" w:hAnsi="Times New Roman"/>
          <w:sz w:val="22"/>
          <w:szCs w:val="22"/>
        </w:rPr>
      </w:pPr>
      <w:r w:rsidRPr="000E0F83">
        <w:rPr>
          <w:rFonts w:ascii="Times New Roman" w:eastAsiaTheme="minorHAnsi" w:hAnsi="Times New Roman"/>
          <w:sz w:val="22"/>
          <w:szCs w:val="22"/>
        </w:rPr>
        <w:t>u postupku izvršenja (ovrsi) izvršnog rješenja o komunalnom doprinosu</w:t>
      </w:r>
    </w:p>
    <w:p w14:paraId="3B50BE7C" w14:textId="77777777" w:rsidR="00300F3F" w:rsidRPr="000E0F83" w:rsidRDefault="00300F3F" w:rsidP="00300F3F">
      <w:pPr>
        <w:pStyle w:val="Odlomakpopisa"/>
        <w:numPr>
          <w:ilvl w:val="0"/>
          <w:numId w:val="5"/>
        </w:numPr>
        <w:spacing w:line="259" w:lineRule="auto"/>
        <w:rPr>
          <w:rFonts w:ascii="Times New Roman" w:eastAsiaTheme="minorHAnsi" w:hAnsi="Times New Roman"/>
          <w:sz w:val="22"/>
          <w:szCs w:val="22"/>
        </w:rPr>
      </w:pPr>
      <w:r w:rsidRPr="000E0F83">
        <w:rPr>
          <w:rFonts w:ascii="Times New Roman" w:eastAsiaTheme="minorHAnsi" w:hAnsi="Times New Roman"/>
          <w:sz w:val="22"/>
          <w:szCs w:val="22"/>
        </w:rPr>
        <w:t>u postupku oslobađanja od obveze plaćanja komunalnog doprinosa</w:t>
      </w:r>
    </w:p>
    <w:p w14:paraId="23A866CD" w14:textId="77777777" w:rsidR="00300F3F" w:rsidRPr="000E0F83" w:rsidRDefault="00300F3F" w:rsidP="00300F3F">
      <w:pPr>
        <w:pStyle w:val="Odlomakpopisa"/>
        <w:numPr>
          <w:ilvl w:val="0"/>
          <w:numId w:val="5"/>
        </w:numPr>
        <w:spacing w:after="160" w:line="259" w:lineRule="auto"/>
        <w:rPr>
          <w:rFonts w:ascii="Times New Roman" w:eastAsiaTheme="minorHAnsi" w:hAnsi="Times New Roman"/>
          <w:sz w:val="22"/>
          <w:szCs w:val="22"/>
        </w:rPr>
      </w:pPr>
      <w:r w:rsidRPr="000E0F83">
        <w:rPr>
          <w:rFonts w:ascii="Times New Roman" w:eastAsiaTheme="minorHAnsi" w:hAnsi="Times New Roman"/>
          <w:sz w:val="22"/>
          <w:szCs w:val="22"/>
        </w:rPr>
        <w:t>u postupku otpisa duga za komunalni doprinos, sukladno odredbama zakona kojim se uređuje opći odnos između poreznih obveznika i poreznih tijela koja primjenjuju propise o porezima i drugim javnim davanjima</w:t>
      </w:r>
    </w:p>
    <w:p w14:paraId="0E7C9274" w14:textId="77777777" w:rsidR="00300F3F" w:rsidRPr="008E6664" w:rsidRDefault="00300F3F" w:rsidP="00300F3F">
      <w:pPr>
        <w:spacing w:after="160" w:line="259" w:lineRule="auto"/>
        <w:ind w:left="360"/>
        <w:contextualSpacing/>
        <w:rPr>
          <w:rFonts w:ascii="Times New Roman" w:eastAsiaTheme="minorHAnsi" w:hAnsi="Times New Roman"/>
          <w:sz w:val="22"/>
          <w:szCs w:val="22"/>
        </w:rPr>
      </w:pPr>
    </w:p>
    <w:p w14:paraId="5C0B26A9" w14:textId="77777777" w:rsidR="00300F3F" w:rsidRPr="008E6664" w:rsidRDefault="00300F3F" w:rsidP="00300F3F">
      <w:pPr>
        <w:spacing w:line="259" w:lineRule="auto"/>
        <w:jc w:val="center"/>
        <w:rPr>
          <w:rFonts w:ascii="Times New Roman" w:eastAsiaTheme="minorHAnsi" w:hAnsi="Times New Roman"/>
          <w:sz w:val="22"/>
          <w:szCs w:val="22"/>
        </w:rPr>
      </w:pPr>
      <w:r w:rsidRPr="008E6664">
        <w:rPr>
          <w:rFonts w:ascii="Times New Roman" w:eastAsiaTheme="minorHAnsi" w:hAnsi="Times New Roman"/>
          <w:sz w:val="22"/>
          <w:szCs w:val="22"/>
        </w:rPr>
        <w:t>Članak 8.</w:t>
      </w:r>
    </w:p>
    <w:p w14:paraId="32D6F5EA" w14:textId="055AB6EA" w:rsidR="00300F3F" w:rsidRPr="008E6664" w:rsidRDefault="00300F3F" w:rsidP="00300F3F">
      <w:pPr>
        <w:spacing w:line="259" w:lineRule="auto"/>
        <w:jc w:val="both"/>
        <w:rPr>
          <w:rFonts w:ascii="Times New Roman" w:eastAsiaTheme="minorHAnsi" w:hAnsi="Times New Roman"/>
          <w:sz w:val="22"/>
          <w:szCs w:val="22"/>
        </w:rPr>
      </w:pPr>
      <w:r w:rsidRPr="008E6664">
        <w:rPr>
          <w:rFonts w:ascii="Times New Roman" w:eastAsiaTheme="minorHAnsi" w:hAnsi="Times New Roman"/>
          <w:sz w:val="22"/>
          <w:szCs w:val="22"/>
        </w:rPr>
        <w:t>Radi obročne otplate dospjelog, a nepodmirenog duga za komunalni doprinos, Jedinstveni upravni odjel i dužnik mogu sklopiti upravni ugovor, na način propisan zakonom kojim se uređuje opći odnos između poreznih obveznika i poreznih tijela koja primjenjuju propise o porezima i drugim javnim davanjima.</w:t>
      </w:r>
      <w:r w:rsidRPr="008E6664">
        <w:rPr>
          <w:rFonts w:ascii="Times New Roman" w:eastAsiaTheme="minorHAnsi" w:hAnsi="Times New Roman"/>
          <w:sz w:val="22"/>
          <w:szCs w:val="22"/>
        </w:rPr>
        <w:tab/>
      </w:r>
    </w:p>
    <w:p w14:paraId="7BA4E7A6" w14:textId="77777777" w:rsidR="00300F3F" w:rsidRDefault="00300F3F" w:rsidP="00813B31">
      <w:pPr>
        <w:spacing w:line="259" w:lineRule="auto"/>
        <w:rPr>
          <w:rFonts w:ascii="Times New Roman" w:eastAsiaTheme="minorHAnsi" w:hAnsi="Times New Roman"/>
          <w:sz w:val="22"/>
          <w:szCs w:val="22"/>
        </w:rPr>
      </w:pPr>
      <w:r w:rsidRPr="008E6664">
        <w:rPr>
          <w:rFonts w:ascii="Times New Roman" w:eastAsiaTheme="minorHAnsi" w:hAnsi="Times New Roman"/>
          <w:sz w:val="22"/>
          <w:szCs w:val="22"/>
        </w:rPr>
        <w:t>U ime Jedinstvenog upravnog odjela upravni ugovor sklapa pročelnik.</w:t>
      </w:r>
    </w:p>
    <w:p w14:paraId="0057BCC0" w14:textId="77777777" w:rsidR="007C0EBB" w:rsidRDefault="007C0EBB" w:rsidP="00300F3F">
      <w:pPr>
        <w:spacing w:line="259" w:lineRule="auto"/>
        <w:ind w:firstLine="708"/>
        <w:rPr>
          <w:rFonts w:ascii="Times New Roman" w:eastAsiaTheme="minorHAnsi" w:hAnsi="Times New Roman"/>
          <w:sz w:val="22"/>
          <w:szCs w:val="22"/>
        </w:rPr>
      </w:pPr>
    </w:p>
    <w:p w14:paraId="40F0C587" w14:textId="77777777" w:rsidR="007C0EBB" w:rsidRPr="007C0EBB" w:rsidRDefault="007C0EBB" w:rsidP="00300F3F">
      <w:pPr>
        <w:spacing w:line="259" w:lineRule="auto"/>
        <w:ind w:firstLine="708"/>
        <w:rPr>
          <w:rFonts w:ascii="Times New Roman" w:eastAsiaTheme="minorHAnsi" w:hAnsi="Times New Roman"/>
          <w:b/>
          <w:bCs/>
          <w:sz w:val="22"/>
          <w:szCs w:val="22"/>
        </w:rPr>
      </w:pPr>
      <w:r w:rsidRPr="007C0EBB">
        <w:rPr>
          <w:rFonts w:ascii="Times New Roman" w:eastAsiaTheme="minorHAnsi" w:hAnsi="Times New Roman"/>
          <w:b/>
          <w:bCs/>
          <w:sz w:val="22"/>
          <w:szCs w:val="22"/>
        </w:rPr>
        <w:t>VI.</w:t>
      </w:r>
      <w:r w:rsidRPr="007C0EBB">
        <w:rPr>
          <w:rFonts w:ascii="Times New Roman" w:eastAsiaTheme="minorHAnsi" w:hAnsi="Times New Roman"/>
          <w:b/>
          <w:bCs/>
          <w:sz w:val="22"/>
          <w:szCs w:val="22"/>
        </w:rPr>
        <w:tab/>
      </w:r>
      <w:bookmarkStart w:id="2" w:name="_Hlk44658874"/>
      <w:r w:rsidR="00031632">
        <w:rPr>
          <w:rFonts w:ascii="Times New Roman" w:eastAsiaTheme="minorHAnsi" w:hAnsi="Times New Roman"/>
          <w:b/>
          <w:bCs/>
          <w:sz w:val="22"/>
          <w:szCs w:val="22"/>
        </w:rPr>
        <w:t xml:space="preserve">DONOŠENJE </w:t>
      </w:r>
      <w:r w:rsidRPr="007C0EBB">
        <w:rPr>
          <w:rFonts w:ascii="Times New Roman" w:eastAsiaTheme="minorHAnsi" w:hAnsi="Times New Roman"/>
          <w:b/>
          <w:bCs/>
          <w:sz w:val="22"/>
          <w:szCs w:val="22"/>
        </w:rPr>
        <w:t>RJEŠENJ</w:t>
      </w:r>
      <w:r w:rsidR="00031632">
        <w:rPr>
          <w:rFonts w:ascii="Times New Roman" w:eastAsiaTheme="minorHAnsi" w:hAnsi="Times New Roman"/>
          <w:b/>
          <w:bCs/>
          <w:sz w:val="22"/>
          <w:szCs w:val="22"/>
        </w:rPr>
        <w:t>A</w:t>
      </w:r>
      <w:r w:rsidRPr="007C0EBB">
        <w:rPr>
          <w:rFonts w:ascii="Times New Roman" w:eastAsiaTheme="minorHAnsi" w:hAnsi="Times New Roman"/>
          <w:b/>
          <w:bCs/>
          <w:sz w:val="22"/>
          <w:szCs w:val="22"/>
        </w:rPr>
        <w:t xml:space="preserve"> O KOMUNALNOM DOPRINOSU</w:t>
      </w:r>
      <w:bookmarkEnd w:id="2"/>
    </w:p>
    <w:p w14:paraId="6FD69339" w14:textId="77777777" w:rsidR="007C0EBB" w:rsidRDefault="007C0EBB" w:rsidP="00300F3F">
      <w:pPr>
        <w:spacing w:line="259" w:lineRule="auto"/>
        <w:ind w:firstLine="708"/>
        <w:rPr>
          <w:rFonts w:ascii="Times New Roman" w:eastAsiaTheme="minorHAnsi" w:hAnsi="Times New Roman"/>
          <w:sz w:val="22"/>
          <w:szCs w:val="22"/>
        </w:rPr>
      </w:pPr>
    </w:p>
    <w:p w14:paraId="15DAEF5D" w14:textId="77777777" w:rsidR="007C0EBB" w:rsidRPr="007C0EBB" w:rsidRDefault="007C0EBB" w:rsidP="007C0EBB">
      <w:pPr>
        <w:spacing w:line="259" w:lineRule="auto"/>
        <w:jc w:val="center"/>
        <w:rPr>
          <w:rFonts w:ascii="Times New Roman" w:eastAsiaTheme="minorHAnsi" w:hAnsi="Times New Roman"/>
          <w:bCs/>
          <w:sz w:val="22"/>
          <w:szCs w:val="22"/>
        </w:rPr>
      </w:pPr>
      <w:r w:rsidRPr="007C0EBB">
        <w:rPr>
          <w:rFonts w:ascii="Times New Roman" w:eastAsiaTheme="minorHAnsi" w:hAnsi="Times New Roman"/>
          <w:bCs/>
          <w:sz w:val="22"/>
          <w:szCs w:val="22"/>
        </w:rPr>
        <w:t>Članak 9.</w:t>
      </w:r>
    </w:p>
    <w:p w14:paraId="0B1D8DCB" w14:textId="77777777" w:rsidR="007C0EBB" w:rsidRPr="007C0EBB" w:rsidRDefault="007C0EBB" w:rsidP="00813B31">
      <w:pPr>
        <w:spacing w:line="259" w:lineRule="auto"/>
        <w:jc w:val="both"/>
        <w:rPr>
          <w:rFonts w:ascii="Times New Roman" w:eastAsiaTheme="minorHAnsi" w:hAnsi="Times New Roman"/>
          <w:sz w:val="22"/>
          <w:szCs w:val="22"/>
        </w:rPr>
      </w:pPr>
      <w:r w:rsidRPr="007C0EBB">
        <w:rPr>
          <w:rFonts w:ascii="Times New Roman" w:eastAsiaTheme="minorHAnsi" w:hAnsi="Times New Roman"/>
          <w:sz w:val="22"/>
          <w:szCs w:val="22"/>
        </w:rPr>
        <w:t xml:space="preserve">Rješenje o komunalnom doprinosu donosi se i </w:t>
      </w:r>
      <w:proofErr w:type="spellStart"/>
      <w:r w:rsidRPr="007C0EBB">
        <w:rPr>
          <w:rFonts w:ascii="Times New Roman" w:eastAsiaTheme="minorHAnsi" w:hAnsi="Times New Roman"/>
          <w:sz w:val="22"/>
          <w:szCs w:val="22"/>
        </w:rPr>
        <w:t>ovršava</w:t>
      </w:r>
      <w:proofErr w:type="spellEnd"/>
      <w:r w:rsidRPr="007C0EBB">
        <w:rPr>
          <w:rFonts w:ascii="Times New Roman" w:eastAsiaTheme="minorHAnsi" w:hAnsi="Times New Roman"/>
          <w:sz w:val="22"/>
          <w:szCs w:val="22"/>
        </w:rPr>
        <w:t xml:space="preserve"> u postupku i na način propisan Općim poreznim zakonom, ako Zakonom o komunalnom gospodarstvu nije propisano drugačije.</w:t>
      </w:r>
    </w:p>
    <w:p w14:paraId="07D55168" w14:textId="77777777" w:rsidR="007C0EBB" w:rsidRPr="007C0EBB" w:rsidRDefault="007C0EBB" w:rsidP="00813B31">
      <w:pPr>
        <w:spacing w:line="259" w:lineRule="auto"/>
        <w:jc w:val="both"/>
        <w:rPr>
          <w:rFonts w:ascii="Times New Roman" w:eastAsiaTheme="minorHAnsi" w:hAnsi="Times New Roman"/>
          <w:sz w:val="22"/>
          <w:szCs w:val="22"/>
        </w:rPr>
      </w:pPr>
      <w:r w:rsidRPr="007C0EBB">
        <w:rPr>
          <w:rFonts w:ascii="Times New Roman" w:eastAsiaTheme="minorHAnsi" w:hAnsi="Times New Roman"/>
          <w:sz w:val="22"/>
          <w:szCs w:val="22"/>
        </w:rPr>
        <w:t>Protiv rješenja o komunalnom doprinosu i rješenja o njegovoj ovrsi, rješenja o njegovoj izmjeni, dopuni, ukidanju ili poništenju, rješenja o odbijanju ili odbacivanju zahtjeva za donošenje tog rješenja te rješenja o obustavi postupka, može se izjaviti žalba, o kojoj odlučuje nadležno upravno tijelo Županije.</w:t>
      </w:r>
    </w:p>
    <w:p w14:paraId="1DA0C026" w14:textId="77777777" w:rsidR="007C0EBB" w:rsidRPr="007C0EBB" w:rsidRDefault="007C0EBB" w:rsidP="007C0EBB">
      <w:pPr>
        <w:spacing w:line="259" w:lineRule="auto"/>
        <w:ind w:firstLine="708"/>
        <w:rPr>
          <w:rFonts w:ascii="Times New Roman" w:eastAsiaTheme="minorHAnsi" w:hAnsi="Times New Roman"/>
          <w:sz w:val="22"/>
          <w:szCs w:val="22"/>
        </w:rPr>
      </w:pPr>
    </w:p>
    <w:p w14:paraId="3AF84294" w14:textId="77777777" w:rsidR="007C0EBB" w:rsidRPr="007C0EBB" w:rsidRDefault="007C0EBB" w:rsidP="007C0EBB">
      <w:pPr>
        <w:spacing w:line="259" w:lineRule="auto"/>
        <w:jc w:val="center"/>
        <w:rPr>
          <w:rFonts w:ascii="Times New Roman" w:eastAsiaTheme="minorHAnsi" w:hAnsi="Times New Roman"/>
          <w:bCs/>
          <w:sz w:val="22"/>
          <w:szCs w:val="22"/>
        </w:rPr>
      </w:pPr>
      <w:r w:rsidRPr="007C0EBB">
        <w:rPr>
          <w:rFonts w:ascii="Times New Roman" w:eastAsiaTheme="minorHAnsi" w:hAnsi="Times New Roman"/>
          <w:bCs/>
          <w:sz w:val="22"/>
          <w:szCs w:val="22"/>
        </w:rPr>
        <w:t>Članak 10.</w:t>
      </w:r>
    </w:p>
    <w:p w14:paraId="611EFA43" w14:textId="77777777" w:rsidR="007C0EBB" w:rsidRPr="007C0EBB" w:rsidRDefault="007C0EBB" w:rsidP="00813B31">
      <w:pPr>
        <w:spacing w:line="259" w:lineRule="auto"/>
        <w:jc w:val="both"/>
        <w:rPr>
          <w:rFonts w:ascii="Times New Roman" w:eastAsiaTheme="minorHAnsi" w:hAnsi="Times New Roman"/>
          <w:sz w:val="22"/>
          <w:szCs w:val="22"/>
        </w:rPr>
      </w:pPr>
      <w:r w:rsidRPr="007C0EBB">
        <w:rPr>
          <w:rFonts w:ascii="Times New Roman" w:eastAsiaTheme="minorHAnsi" w:hAnsi="Times New Roman"/>
          <w:sz w:val="22"/>
          <w:szCs w:val="22"/>
        </w:rPr>
        <w:t>Rješenje o komunalnom doprinosu donosi se po pravomoćnosti građevinske dozvole, odnosno rješenja o izvedenom stanju, a u slučaju građenja građevina koje se prema posebnim propisima grade bez građevinske dozvole, nakon prijave početka građenja ili nakon početka građenja.</w:t>
      </w:r>
    </w:p>
    <w:p w14:paraId="7C73B5A7" w14:textId="77777777" w:rsidR="007C0EBB" w:rsidRPr="007C0EBB" w:rsidRDefault="007C0EBB" w:rsidP="00813B31">
      <w:pPr>
        <w:spacing w:line="259" w:lineRule="auto"/>
        <w:jc w:val="both"/>
        <w:rPr>
          <w:rFonts w:ascii="Times New Roman" w:eastAsiaTheme="minorHAnsi" w:hAnsi="Times New Roman"/>
          <w:sz w:val="22"/>
          <w:szCs w:val="22"/>
        </w:rPr>
      </w:pPr>
      <w:r w:rsidRPr="007C0EBB">
        <w:rPr>
          <w:rFonts w:ascii="Times New Roman" w:eastAsiaTheme="minorHAnsi" w:hAnsi="Times New Roman"/>
          <w:sz w:val="22"/>
          <w:szCs w:val="22"/>
        </w:rPr>
        <w:t>Iznimno od prethodnog članka, rješenje o komunalnom doprinosu za skladište i građevinu namijenjenu proizvodnji donosi se po pravomoćnosti uporabne dozvole, odnosno nakon što se građevina te namjene počela koristiti ako se koristi bez uporabne dozvole.</w:t>
      </w:r>
    </w:p>
    <w:p w14:paraId="7E0CB549" w14:textId="77777777" w:rsidR="007C0EBB" w:rsidRPr="007C0EBB" w:rsidRDefault="007C0EBB" w:rsidP="00813B31">
      <w:pPr>
        <w:spacing w:line="259" w:lineRule="auto"/>
        <w:jc w:val="both"/>
        <w:rPr>
          <w:rFonts w:ascii="Times New Roman" w:eastAsiaTheme="minorHAnsi" w:hAnsi="Times New Roman"/>
          <w:sz w:val="22"/>
          <w:szCs w:val="22"/>
        </w:rPr>
      </w:pPr>
      <w:r w:rsidRPr="007C0EBB">
        <w:rPr>
          <w:rFonts w:ascii="Times New Roman" w:eastAsiaTheme="minorHAnsi" w:hAnsi="Times New Roman"/>
          <w:sz w:val="22"/>
          <w:szCs w:val="22"/>
        </w:rPr>
        <w:t>Uporabna dozvola za skladište ili građevinu namijenjenu proizvodnji na području Općine</w:t>
      </w:r>
      <w:r w:rsidR="00FA78A8">
        <w:rPr>
          <w:rFonts w:ascii="Times New Roman" w:eastAsiaTheme="minorHAnsi" w:hAnsi="Times New Roman"/>
          <w:sz w:val="22"/>
          <w:szCs w:val="22"/>
        </w:rPr>
        <w:t xml:space="preserve"> Ernestinovo</w:t>
      </w:r>
      <w:r w:rsidRPr="007C0EBB">
        <w:rPr>
          <w:rFonts w:ascii="Times New Roman" w:eastAsiaTheme="minorHAnsi" w:hAnsi="Times New Roman"/>
          <w:sz w:val="22"/>
          <w:szCs w:val="22"/>
        </w:rPr>
        <w:t>, dostavlja se na znanje Jedinstvenom upravnom odjelu Općine.</w:t>
      </w:r>
    </w:p>
    <w:p w14:paraId="4893A7D5" w14:textId="77777777" w:rsidR="007C0EBB" w:rsidRPr="007C0EBB" w:rsidRDefault="007C0EBB" w:rsidP="007C0EBB">
      <w:pPr>
        <w:spacing w:line="259" w:lineRule="auto"/>
        <w:ind w:firstLine="708"/>
        <w:rPr>
          <w:rFonts w:ascii="Times New Roman" w:eastAsiaTheme="minorHAnsi" w:hAnsi="Times New Roman"/>
          <w:sz w:val="22"/>
          <w:szCs w:val="22"/>
        </w:rPr>
      </w:pPr>
    </w:p>
    <w:p w14:paraId="639A6906" w14:textId="77777777" w:rsidR="007C0EBB" w:rsidRPr="007C0EBB" w:rsidRDefault="007C0EBB" w:rsidP="007C0EBB">
      <w:pPr>
        <w:spacing w:line="259" w:lineRule="auto"/>
        <w:rPr>
          <w:rFonts w:ascii="Times New Roman" w:eastAsiaTheme="minorHAnsi" w:hAnsi="Times New Roman"/>
          <w:b/>
          <w:sz w:val="22"/>
          <w:szCs w:val="22"/>
        </w:rPr>
      </w:pPr>
      <w:r w:rsidRPr="007C0EBB">
        <w:rPr>
          <w:rFonts w:ascii="Times New Roman" w:eastAsiaTheme="minorHAnsi" w:hAnsi="Times New Roman"/>
          <w:b/>
          <w:sz w:val="22"/>
          <w:szCs w:val="22"/>
        </w:rPr>
        <w:t>Izmjena ovršnog odnosno  pravomoćnog rješenja o komunalnom doprinosu</w:t>
      </w:r>
    </w:p>
    <w:p w14:paraId="35BBF26F" w14:textId="77777777" w:rsidR="007C0EBB" w:rsidRPr="007C0EBB" w:rsidRDefault="007C0EBB" w:rsidP="007C0EBB">
      <w:pPr>
        <w:spacing w:line="259" w:lineRule="auto"/>
        <w:ind w:firstLine="708"/>
        <w:rPr>
          <w:rFonts w:ascii="Times New Roman" w:eastAsiaTheme="minorHAnsi" w:hAnsi="Times New Roman"/>
          <w:b/>
          <w:sz w:val="22"/>
          <w:szCs w:val="22"/>
        </w:rPr>
      </w:pPr>
    </w:p>
    <w:p w14:paraId="06504B58" w14:textId="77777777" w:rsidR="007C0EBB" w:rsidRPr="007C0EBB" w:rsidRDefault="007C0EBB" w:rsidP="007C0EBB">
      <w:pPr>
        <w:spacing w:line="259" w:lineRule="auto"/>
        <w:jc w:val="center"/>
        <w:rPr>
          <w:rFonts w:ascii="Times New Roman" w:eastAsiaTheme="minorHAnsi" w:hAnsi="Times New Roman"/>
          <w:bCs/>
          <w:sz w:val="22"/>
          <w:szCs w:val="22"/>
        </w:rPr>
      </w:pPr>
      <w:r w:rsidRPr="007C0EBB">
        <w:rPr>
          <w:rFonts w:ascii="Times New Roman" w:eastAsiaTheme="minorHAnsi" w:hAnsi="Times New Roman"/>
          <w:bCs/>
          <w:sz w:val="22"/>
          <w:szCs w:val="22"/>
        </w:rPr>
        <w:t>Članak 11.</w:t>
      </w:r>
    </w:p>
    <w:p w14:paraId="5167193A" w14:textId="77777777" w:rsidR="007C0EBB" w:rsidRPr="007C0EBB" w:rsidRDefault="007C0EBB" w:rsidP="00813B31">
      <w:pPr>
        <w:spacing w:line="259" w:lineRule="auto"/>
        <w:jc w:val="both"/>
        <w:rPr>
          <w:rFonts w:ascii="Times New Roman" w:eastAsiaTheme="minorHAnsi" w:hAnsi="Times New Roman"/>
          <w:sz w:val="22"/>
          <w:szCs w:val="22"/>
        </w:rPr>
      </w:pPr>
      <w:r w:rsidRPr="007C0EBB">
        <w:rPr>
          <w:rFonts w:ascii="Times New Roman" w:eastAsiaTheme="minorHAnsi" w:hAnsi="Times New Roman"/>
          <w:sz w:val="22"/>
          <w:szCs w:val="22"/>
        </w:rPr>
        <w:t xml:space="preserve">Ako je izmijenjena građevinska dozvola, drugi akt za građenje ili glavni projekat na način koji utječe na obračun komunalnog doprinosa, </w:t>
      </w:r>
      <w:r w:rsidR="00FA78A8">
        <w:rPr>
          <w:rFonts w:ascii="Times New Roman" w:eastAsiaTheme="minorHAnsi" w:hAnsi="Times New Roman"/>
          <w:sz w:val="22"/>
          <w:szCs w:val="22"/>
        </w:rPr>
        <w:t xml:space="preserve">jedinstveni </w:t>
      </w:r>
      <w:r w:rsidRPr="007C0EBB">
        <w:rPr>
          <w:rFonts w:ascii="Times New Roman" w:eastAsiaTheme="minorHAnsi" w:hAnsi="Times New Roman"/>
          <w:sz w:val="22"/>
          <w:szCs w:val="22"/>
        </w:rPr>
        <w:t xml:space="preserve">upravni odjel po službenoj dužnosti ili po zahtjevu </w:t>
      </w:r>
      <w:r w:rsidRPr="007C0EBB">
        <w:rPr>
          <w:rFonts w:ascii="Times New Roman" w:eastAsiaTheme="minorHAnsi" w:hAnsi="Times New Roman"/>
          <w:sz w:val="22"/>
          <w:szCs w:val="22"/>
        </w:rPr>
        <w:lastRenderedPageBreak/>
        <w:t xml:space="preserve">obveznika komunalnog doprinosa ili investitora izmijenit će ovršno odnosno pravomoćno rješenje o komunalnom doprinosu. </w:t>
      </w:r>
    </w:p>
    <w:p w14:paraId="7B3FB0FD" w14:textId="77777777" w:rsidR="007C0EBB" w:rsidRPr="007C0EBB" w:rsidRDefault="007C0EBB" w:rsidP="00813B31">
      <w:pPr>
        <w:spacing w:line="259" w:lineRule="auto"/>
        <w:jc w:val="both"/>
        <w:rPr>
          <w:rFonts w:ascii="Times New Roman" w:eastAsiaTheme="minorHAnsi" w:hAnsi="Times New Roman"/>
          <w:sz w:val="22"/>
          <w:szCs w:val="22"/>
        </w:rPr>
      </w:pPr>
      <w:r w:rsidRPr="007C0EBB">
        <w:rPr>
          <w:rFonts w:ascii="Times New Roman" w:eastAsiaTheme="minorHAnsi" w:hAnsi="Times New Roman"/>
          <w:sz w:val="22"/>
          <w:szCs w:val="22"/>
        </w:rPr>
        <w:t>Rješenjem o izmjeni rješenja o komunalnom doprinosu iz prethodnog stavka ovog članka obračunat će se komunalni doprinos prema izmjeni te odrediti plaćanje ili povrat razlike komunalnog doprinosa  prema Odluci o komunalnom doprinosu, prema kojoj je rješenje o komunalnom doprinosu doneseno.</w:t>
      </w:r>
    </w:p>
    <w:p w14:paraId="5575E1D4" w14:textId="77777777" w:rsidR="007C0EBB" w:rsidRPr="007C0EBB" w:rsidRDefault="007C0EBB" w:rsidP="00813B31">
      <w:pPr>
        <w:spacing w:line="259" w:lineRule="auto"/>
        <w:jc w:val="both"/>
        <w:rPr>
          <w:rFonts w:ascii="Times New Roman" w:eastAsiaTheme="minorHAnsi" w:hAnsi="Times New Roman"/>
          <w:sz w:val="22"/>
          <w:szCs w:val="22"/>
        </w:rPr>
      </w:pPr>
      <w:r w:rsidRPr="007C0EBB">
        <w:rPr>
          <w:rFonts w:ascii="Times New Roman" w:eastAsiaTheme="minorHAnsi" w:hAnsi="Times New Roman"/>
          <w:sz w:val="22"/>
          <w:szCs w:val="22"/>
        </w:rPr>
        <w:t>U slučaju povrata iz prethodnog stavka ovog članka, obveznik odnosno investitor nemaju pravo na kamatu.</w:t>
      </w:r>
      <w:r w:rsidR="00FA78A8" w:rsidRPr="00FA78A8">
        <w:rPr>
          <w:rFonts w:ascii="Times New Roman" w:eastAsiaTheme="minorHAnsi" w:hAnsi="Times New Roman"/>
          <w:sz w:val="22"/>
          <w:szCs w:val="22"/>
        </w:rPr>
        <w:t xml:space="preserve"> </w:t>
      </w:r>
    </w:p>
    <w:p w14:paraId="26656F0A" w14:textId="77777777" w:rsidR="007C0EBB" w:rsidRPr="007C0EBB" w:rsidRDefault="007C0EBB" w:rsidP="007C0EBB">
      <w:pPr>
        <w:spacing w:line="259" w:lineRule="auto"/>
        <w:ind w:firstLine="708"/>
        <w:rPr>
          <w:rFonts w:ascii="Times New Roman" w:eastAsiaTheme="minorHAnsi" w:hAnsi="Times New Roman"/>
          <w:sz w:val="22"/>
          <w:szCs w:val="22"/>
        </w:rPr>
      </w:pPr>
    </w:p>
    <w:p w14:paraId="1C619120" w14:textId="77777777" w:rsidR="007C0EBB" w:rsidRPr="007C0EBB" w:rsidRDefault="007C0EBB" w:rsidP="007C0EBB">
      <w:pPr>
        <w:spacing w:line="259" w:lineRule="auto"/>
        <w:rPr>
          <w:rFonts w:ascii="Times New Roman" w:eastAsiaTheme="minorHAnsi" w:hAnsi="Times New Roman"/>
          <w:b/>
          <w:sz w:val="22"/>
          <w:szCs w:val="22"/>
        </w:rPr>
      </w:pPr>
      <w:r w:rsidRPr="007C0EBB">
        <w:rPr>
          <w:rFonts w:ascii="Times New Roman" w:eastAsiaTheme="minorHAnsi" w:hAnsi="Times New Roman"/>
          <w:b/>
          <w:sz w:val="22"/>
          <w:szCs w:val="22"/>
        </w:rPr>
        <w:t>Poništenje ovršnog odnosno pravomoćnog rješenja o komunalnom doprinosu</w:t>
      </w:r>
    </w:p>
    <w:p w14:paraId="66093ED5" w14:textId="77777777" w:rsidR="007C0EBB" w:rsidRPr="007C0EBB" w:rsidRDefault="007C0EBB" w:rsidP="007C0EBB">
      <w:pPr>
        <w:spacing w:line="259" w:lineRule="auto"/>
        <w:ind w:firstLine="708"/>
        <w:jc w:val="center"/>
        <w:rPr>
          <w:rFonts w:ascii="Times New Roman" w:eastAsiaTheme="minorHAnsi" w:hAnsi="Times New Roman"/>
          <w:b/>
          <w:sz w:val="22"/>
          <w:szCs w:val="22"/>
        </w:rPr>
      </w:pPr>
    </w:p>
    <w:p w14:paraId="0BBC52CA" w14:textId="77777777" w:rsidR="007C0EBB" w:rsidRPr="007C0EBB" w:rsidRDefault="007C0EBB" w:rsidP="007C0EBB">
      <w:pPr>
        <w:spacing w:line="259" w:lineRule="auto"/>
        <w:jc w:val="center"/>
        <w:rPr>
          <w:rFonts w:ascii="Times New Roman" w:eastAsiaTheme="minorHAnsi" w:hAnsi="Times New Roman"/>
          <w:bCs/>
          <w:sz w:val="22"/>
          <w:szCs w:val="22"/>
        </w:rPr>
      </w:pPr>
      <w:r w:rsidRPr="007C0EBB">
        <w:rPr>
          <w:rFonts w:ascii="Times New Roman" w:eastAsiaTheme="minorHAnsi" w:hAnsi="Times New Roman"/>
          <w:bCs/>
          <w:sz w:val="22"/>
          <w:szCs w:val="22"/>
        </w:rPr>
        <w:t>Članak 12.</w:t>
      </w:r>
    </w:p>
    <w:p w14:paraId="52C0C7F4" w14:textId="77777777" w:rsidR="007C0EBB" w:rsidRPr="007C0EBB" w:rsidRDefault="00FA78A8" w:rsidP="00813B31">
      <w:pPr>
        <w:spacing w:line="259" w:lineRule="auto"/>
        <w:jc w:val="both"/>
        <w:rPr>
          <w:rFonts w:ascii="Times New Roman" w:eastAsiaTheme="minorHAnsi" w:hAnsi="Times New Roman"/>
          <w:sz w:val="22"/>
          <w:szCs w:val="22"/>
        </w:rPr>
      </w:pPr>
      <w:r>
        <w:rPr>
          <w:rFonts w:ascii="Times New Roman" w:eastAsiaTheme="minorHAnsi" w:hAnsi="Times New Roman"/>
          <w:sz w:val="22"/>
          <w:szCs w:val="22"/>
        </w:rPr>
        <w:t>Jedinstveni u</w:t>
      </w:r>
      <w:r w:rsidR="007C0EBB" w:rsidRPr="007C0EBB">
        <w:rPr>
          <w:rFonts w:ascii="Times New Roman" w:eastAsiaTheme="minorHAnsi" w:hAnsi="Times New Roman"/>
          <w:sz w:val="22"/>
          <w:szCs w:val="22"/>
        </w:rPr>
        <w:t>pravni odjel poništit će po zahtjevu obveznika komunalnog doprinosa ili investitora, ovršno odnosno pravomoćno rješenje o komunalnom doprinosu, ako je građevinska dozvola, drugi akt za građenje oglašen ništavim ili je poništen bez zahtjeva ili suglasnosti investitora.</w:t>
      </w:r>
    </w:p>
    <w:p w14:paraId="48C3BACD" w14:textId="77777777" w:rsidR="007C0EBB" w:rsidRPr="007C0EBB" w:rsidRDefault="007C0EBB" w:rsidP="00813B31">
      <w:pPr>
        <w:spacing w:line="259" w:lineRule="auto"/>
        <w:jc w:val="both"/>
        <w:rPr>
          <w:rFonts w:ascii="Times New Roman" w:eastAsiaTheme="minorHAnsi" w:hAnsi="Times New Roman"/>
          <w:sz w:val="22"/>
          <w:szCs w:val="22"/>
        </w:rPr>
      </w:pPr>
      <w:r w:rsidRPr="007C0EBB">
        <w:rPr>
          <w:rFonts w:ascii="Times New Roman" w:eastAsiaTheme="minorHAnsi" w:hAnsi="Times New Roman"/>
          <w:sz w:val="22"/>
          <w:szCs w:val="22"/>
        </w:rPr>
        <w:t xml:space="preserve">Rješenjem o poništenju rješenja o komunalnom doprinosu iz prethodnog stavka ovog članka odredit će se i povrat </w:t>
      </w:r>
      <w:r w:rsidR="00FA78A8">
        <w:rPr>
          <w:rFonts w:ascii="Times New Roman" w:eastAsiaTheme="minorHAnsi" w:hAnsi="Times New Roman"/>
          <w:sz w:val="22"/>
          <w:szCs w:val="22"/>
        </w:rPr>
        <w:t xml:space="preserve">uplaćenog </w:t>
      </w:r>
      <w:r w:rsidRPr="007C0EBB">
        <w:rPr>
          <w:rFonts w:ascii="Times New Roman" w:eastAsiaTheme="minorHAnsi" w:hAnsi="Times New Roman"/>
          <w:sz w:val="22"/>
          <w:szCs w:val="22"/>
        </w:rPr>
        <w:t>komunalnog doprinosa u roku najdulje do dvije godine od dana izvršnosti rješenja o komunalnom doprinosu.</w:t>
      </w:r>
    </w:p>
    <w:p w14:paraId="17E2182D" w14:textId="77777777" w:rsidR="007C0EBB" w:rsidRDefault="007C0EBB" w:rsidP="00813B31">
      <w:pPr>
        <w:spacing w:line="259" w:lineRule="auto"/>
        <w:jc w:val="both"/>
        <w:rPr>
          <w:rFonts w:ascii="Times New Roman" w:eastAsiaTheme="minorHAnsi" w:hAnsi="Times New Roman"/>
          <w:sz w:val="22"/>
          <w:szCs w:val="22"/>
        </w:rPr>
      </w:pPr>
      <w:r w:rsidRPr="007C0EBB">
        <w:rPr>
          <w:rFonts w:ascii="Times New Roman" w:eastAsiaTheme="minorHAnsi" w:hAnsi="Times New Roman"/>
          <w:sz w:val="22"/>
          <w:szCs w:val="22"/>
        </w:rPr>
        <w:t>Pri povratu iz prethodnog stavka ovog članka obveznik odnosno investitor nemaju pravo na kamatu.</w:t>
      </w:r>
    </w:p>
    <w:p w14:paraId="57C637AF" w14:textId="77777777" w:rsidR="007C0EBB" w:rsidRPr="007C0EBB" w:rsidRDefault="007C0EBB" w:rsidP="00FA78A8">
      <w:pPr>
        <w:spacing w:line="259" w:lineRule="auto"/>
        <w:rPr>
          <w:rFonts w:ascii="Times New Roman" w:eastAsiaTheme="minorHAnsi" w:hAnsi="Times New Roman"/>
          <w:sz w:val="22"/>
          <w:szCs w:val="22"/>
        </w:rPr>
      </w:pPr>
    </w:p>
    <w:p w14:paraId="6A531D66" w14:textId="77777777" w:rsidR="007C0EBB" w:rsidRPr="007C0EBB" w:rsidRDefault="007C0EBB" w:rsidP="007C0EBB">
      <w:pPr>
        <w:spacing w:line="259" w:lineRule="auto"/>
        <w:rPr>
          <w:rFonts w:ascii="Times New Roman" w:eastAsiaTheme="minorHAnsi" w:hAnsi="Times New Roman"/>
          <w:b/>
          <w:sz w:val="22"/>
          <w:szCs w:val="22"/>
        </w:rPr>
      </w:pPr>
      <w:r w:rsidRPr="007C0EBB">
        <w:rPr>
          <w:rFonts w:ascii="Times New Roman" w:eastAsiaTheme="minorHAnsi" w:hAnsi="Times New Roman"/>
          <w:b/>
          <w:sz w:val="22"/>
          <w:szCs w:val="22"/>
        </w:rPr>
        <w:t>Uračunavanje kao plaćenog dijela komunalnog doprinosa</w:t>
      </w:r>
    </w:p>
    <w:p w14:paraId="119BB051" w14:textId="77777777" w:rsidR="007C0EBB" w:rsidRPr="007C0EBB" w:rsidRDefault="007C0EBB" w:rsidP="007C0EBB">
      <w:pPr>
        <w:spacing w:line="259" w:lineRule="auto"/>
        <w:ind w:firstLine="708"/>
        <w:rPr>
          <w:rFonts w:ascii="Times New Roman" w:eastAsiaTheme="minorHAnsi" w:hAnsi="Times New Roman"/>
          <w:b/>
          <w:sz w:val="22"/>
          <w:szCs w:val="22"/>
        </w:rPr>
      </w:pPr>
    </w:p>
    <w:p w14:paraId="1CC7DA3C" w14:textId="77777777" w:rsidR="007C0EBB" w:rsidRPr="007C0EBB" w:rsidRDefault="007C0EBB" w:rsidP="007C0EBB">
      <w:pPr>
        <w:spacing w:line="259" w:lineRule="auto"/>
        <w:jc w:val="center"/>
        <w:rPr>
          <w:rFonts w:ascii="Times New Roman" w:eastAsiaTheme="minorHAnsi" w:hAnsi="Times New Roman"/>
          <w:bCs/>
          <w:sz w:val="22"/>
          <w:szCs w:val="22"/>
        </w:rPr>
      </w:pPr>
      <w:r w:rsidRPr="007C0EBB">
        <w:rPr>
          <w:rFonts w:ascii="Times New Roman" w:eastAsiaTheme="minorHAnsi" w:hAnsi="Times New Roman"/>
          <w:bCs/>
          <w:sz w:val="22"/>
          <w:szCs w:val="22"/>
        </w:rPr>
        <w:t>Članak 13.</w:t>
      </w:r>
    </w:p>
    <w:p w14:paraId="3A0BFC39" w14:textId="77777777" w:rsidR="00FA78A8" w:rsidRPr="00FA78A8" w:rsidRDefault="00FA78A8" w:rsidP="00813B31">
      <w:pPr>
        <w:spacing w:line="259" w:lineRule="auto"/>
        <w:jc w:val="both"/>
        <w:rPr>
          <w:rFonts w:ascii="Times New Roman" w:eastAsiaTheme="minorHAnsi" w:hAnsi="Times New Roman"/>
          <w:sz w:val="22"/>
          <w:szCs w:val="22"/>
        </w:rPr>
      </w:pPr>
      <w:r w:rsidRPr="00FA78A8">
        <w:rPr>
          <w:rFonts w:ascii="Times New Roman" w:eastAsiaTheme="minorHAnsi" w:hAnsi="Times New Roman"/>
          <w:sz w:val="22"/>
          <w:szCs w:val="22"/>
        </w:rPr>
        <w:t>Iznos komunalnog doprinosa plaćen za građenje građevine na temelju građevinske dozvole odnosno drugog akta za građenje koji je prestao važiti jer građenje nije započeto ili građevinske dozvole odnosno drugog akta za građenje koji je poništen na zahtjev ili uz suglasnost investitora</w:t>
      </w:r>
      <w:r>
        <w:rPr>
          <w:rFonts w:ascii="Times New Roman" w:eastAsiaTheme="minorHAnsi" w:hAnsi="Times New Roman"/>
          <w:sz w:val="22"/>
          <w:szCs w:val="22"/>
        </w:rPr>
        <w:t>, jedinstveni upravni odjel uračunat će</w:t>
      </w:r>
      <w:r w:rsidRPr="00FA78A8">
        <w:rPr>
          <w:rFonts w:ascii="Times New Roman" w:eastAsiaTheme="minorHAnsi" w:hAnsi="Times New Roman"/>
          <w:sz w:val="22"/>
          <w:szCs w:val="22"/>
        </w:rPr>
        <w:t xml:space="preserve"> kao plaćeni dio komunalnog doprinosa koji se plaća za građenje na istom ili drugom zemljištu na području </w:t>
      </w:r>
      <w:r>
        <w:rPr>
          <w:rFonts w:ascii="Times New Roman" w:eastAsiaTheme="minorHAnsi" w:hAnsi="Times New Roman"/>
          <w:sz w:val="22"/>
          <w:szCs w:val="22"/>
        </w:rPr>
        <w:t xml:space="preserve">Općine Ernestinovo </w:t>
      </w:r>
      <w:r w:rsidRPr="00FA78A8">
        <w:rPr>
          <w:rFonts w:ascii="Times New Roman" w:eastAsiaTheme="minorHAnsi" w:hAnsi="Times New Roman"/>
          <w:sz w:val="22"/>
          <w:szCs w:val="22"/>
        </w:rPr>
        <w:t>ako to zatraži obveznik komunalnog doprinosa odnosno investitor.</w:t>
      </w:r>
    </w:p>
    <w:p w14:paraId="78D7FB08" w14:textId="77777777" w:rsidR="00FA78A8" w:rsidRPr="00FA78A8" w:rsidRDefault="00FA78A8" w:rsidP="00FA78A8">
      <w:pPr>
        <w:spacing w:line="259" w:lineRule="auto"/>
        <w:ind w:firstLine="708"/>
        <w:jc w:val="both"/>
        <w:rPr>
          <w:rFonts w:ascii="Times New Roman" w:eastAsiaTheme="minorHAnsi" w:hAnsi="Times New Roman"/>
          <w:sz w:val="22"/>
          <w:szCs w:val="22"/>
        </w:rPr>
      </w:pPr>
    </w:p>
    <w:p w14:paraId="10C66A6E" w14:textId="77777777" w:rsidR="00FA78A8" w:rsidRPr="00FA78A8" w:rsidRDefault="00FA78A8" w:rsidP="00813B31">
      <w:pPr>
        <w:spacing w:line="259" w:lineRule="auto"/>
        <w:jc w:val="both"/>
        <w:rPr>
          <w:rFonts w:ascii="Times New Roman" w:eastAsiaTheme="minorHAnsi" w:hAnsi="Times New Roman"/>
          <w:sz w:val="22"/>
          <w:szCs w:val="22"/>
        </w:rPr>
      </w:pPr>
      <w:r w:rsidRPr="00FA78A8">
        <w:rPr>
          <w:rFonts w:ascii="Times New Roman" w:eastAsiaTheme="minorHAnsi" w:hAnsi="Times New Roman"/>
          <w:sz w:val="22"/>
          <w:szCs w:val="22"/>
        </w:rPr>
        <w:t>Obveznik komunalnog doprinosa odnosno investitor nema pravo na kamatu za iznos koji je uplaćen niti na kamatu za iznos koji se uračunava kao plaćeni dio komunalnog doprinosa kojim se plaća građenje na istom ili drugom zemljištu.</w:t>
      </w:r>
    </w:p>
    <w:p w14:paraId="0777EA78" w14:textId="77777777" w:rsidR="00300F3F" w:rsidRPr="008E6664" w:rsidRDefault="00300F3F" w:rsidP="00813B31">
      <w:pPr>
        <w:spacing w:line="259" w:lineRule="auto"/>
        <w:rPr>
          <w:rFonts w:ascii="Times New Roman" w:eastAsiaTheme="minorHAnsi" w:hAnsi="Times New Roman"/>
          <w:sz w:val="22"/>
          <w:szCs w:val="22"/>
        </w:rPr>
      </w:pPr>
    </w:p>
    <w:p w14:paraId="1E6AA070" w14:textId="77777777" w:rsidR="00300F3F" w:rsidRDefault="00300F3F" w:rsidP="00300F3F">
      <w:pPr>
        <w:numPr>
          <w:ilvl w:val="0"/>
          <w:numId w:val="1"/>
        </w:numPr>
        <w:spacing w:line="259" w:lineRule="auto"/>
        <w:contextualSpacing/>
        <w:rPr>
          <w:rFonts w:ascii="Times New Roman" w:eastAsiaTheme="minorHAnsi" w:hAnsi="Times New Roman"/>
          <w:b/>
          <w:bCs/>
          <w:sz w:val="22"/>
          <w:szCs w:val="22"/>
        </w:rPr>
      </w:pPr>
      <w:r w:rsidRPr="008E6664">
        <w:rPr>
          <w:rFonts w:ascii="Times New Roman" w:eastAsiaTheme="minorHAnsi" w:hAnsi="Times New Roman"/>
          <w:b/>
          <w:bCs/>
          <w:sz w:val="22"/>
          <w:szCs w:val="22"/>
        </w:rPr>
        <w:t>PRIJELAZNE I ZAVRŠNE ODREDBE</w:t>
      </w:r>
    </w:p>
    <w:p w14:paraId="7B99ADEB" w14:textId="77777777" w:rsidR="00300F3F" w:rsidRPr="008E6664" w:rsidRDefault="00300F3F" w:rsidP="00300F3F">
      <w:pPr>
        <w:spacing w:line="259" w:lineRule="auto"/>
        <w:ind w:left="1080"/>
        <w:contextualSpacing/>
        <w:rPr>
          <w:rFonts w:ascii="Times New Roman" w:eastAsiaTheme="minorHAnsi" w:hAnsi="Times New Roman"/>
          <w:b/>
          <w:bCs/>
          <w:sz w:val="22"/>
          <w:szCs w:val="22"/>
        </w:rPr>
      </w:pPr>
    </w:p>
    <w:p w14:paraId="51B20A47" w14:textId="77777777" w:rsidR="00300F3F" w:rsidRPr="008E6664" w:rsidRDefault="00300F3F" w:rsidP="00300F3F">
      <w:pPr>
        <w:jc w:val="center"/>
        <w:rPr>
          <w:rFonts w:ascii="Times New Roman" w:hAnsi="Times New Roman"/>
          <w:sz w:val="22"/>
          <w:szCs w:val="22"/>
          <w:lang w:eastAsia="hr-HR"/>
        </w:rPr>
      </w:pPr>
      <w:r w:rsidRPr="008E6664">
        <w:rPr>
          <w:rFonts w:ascii="Times New Roman" w:hAnsi="Times New Roman"/>
          <w:sz w:val="22"/>
          <w:szCs w:val="22"/>
          <w:lang w:eastAsia="hr-HR"/>
        </w:rPr>
        <w:t xml:space="preserve">Članak </w:t>
      </w:r>
      <w:r w:rsidR="007C0EBB">
        <w:rPr>
          <w:rFonts w:ascii="Times New Roman" w:hAnsi="Times New Roman"/>
          <w:sz w:val="22"/>
          <w:szCs w:val="22"/>
          <w:lang w:eastAsia="hr-HR"/>
        </w:rPr>
        <w:t>14</w:t>
      </w:r>
      <w:r w:rsidRPr="008E6664">
        <w:rPr>
          <w:rFonts w:ascii="Times New Roman" w:hAnsi="Times New Roman"/>
          <w:sz w:val="22"/>
          <w:szCs w:val="22"/>
          <w:lang w:eastAsia="hr-HR"/>
        </w:rPr>
        <w:t>.</w:t>
      </w:r>
    </w:p>
    <w:p w14:paraId="36413403" w14:textId="77777777" w:rsidR="00300F3F" w:rsidRDefault="00300F3F" w:rsidP="00813B31">
      <w:pPr>
        <w:jc w:val="both"/>
        <w:rPr>
          <w:rFonts w:ascii="Times New Roman" w:hAnsi="Times New Roman"/>
          <w:sz w:val="22"/>
          <w:szCs w:val="22"/>
          <w:lang w:eastAsia="hr-HR"/>
        </w:rPr>
      </w:pPr>
      <w:r w:rsidRPr="008E6664">
        <w:rPr>
          <w:rFonts w:ascii="Times New Roman" w:hAnsi="Times New Roman"/>
          <w:sz w:val="22"/>
          <w:szCs w:val="22"/>
          <w:lang w:eastAsia="hr-HR"/>
        </w:rPr>
        <w:t xml:space="preserve">Postupci započeti prije stupanja na snagu ove odluke, završit će se prema odredbama </w:t>
      </w:r>
      <w:r w:rsidR="009760AE" w:rsidRPr="009760AE">
        <w:rPr>
          <w:rFonts w:ascii="Times New Roman" w:hAnsi="Times New Roman"/>
          <w:sz w:val="22"/>
          <w:szCs w:val="22"/>
          <w:lang w:eastAsia="hr-HR"/>
        </w:rPr>
        <w:t>Odluk</w:t>
      </w:r>
      <w:r w:rsidR="009760AE">
        <w:rPr>
          <w:rFonts w:ascii="Times New Roman" w:hAnsi="Times New Roman"/>
          <w:sz w:val="22"/>
          <w:szCs w:val="22"/>
          <w:lang w:eastAsia="hr-HR"/>
        </w:rPr>
        <w:t xml:space="preserve">e </w:t>
      </w:r>
      <w:r w:rsidR="009760AE" w:rsidRPr="009760AE">
        <w:rPr>
          <w:rFonts w:ascii="Times New Roman" w:hAnsi="Times New Roman"/>
          <w:sz w:val="22"/>
          <w:szCs w:val="22"/>
          <w:lang w:eastAsia="hr-HR"/>
        </w:rPr>
        <w:t>o komunalnom doprinosu Općine Ernestinovo (Službeni glasnik Općine Ernestinovo, broj 2/2019).</w:t>
      </w:r>
    </w:p>
    <w:p w14:paraId="7E753858" w14:textId="77777777" w:rsidR="00300F3F" w:rsidRPr="008E6664" w:rsidRDefault="00300F3F" w:rsidP="00300F3F">
      <w:pPr>
        <w:jc w:val="both"/>
        <w:rPr>
          <w:rFonts w:ascii="Times New Roman" w:hAnsi="Times New Roman"/>
          <w:sz w:val="22"/>
          <w:szCs w:val="22"/>
          <w:lang w:eastAsia="hr-HR"/>
        </w:rPr>
      </w:pPr>
    </w:p>
    <w:p w14:paraId="71FF7F54" w14:textId="77777777" w:rsidR="00300F3F" w:rsidRPr="008E6664" w:rsidRDefault="00300F3F" w:rsidP="00300F3F">
      <w:pPr>
        <w:jc w:val="center"/>
        <w:rPr>
          <w:rFonts w:ascii="Times New Roman" w:hAnsi="Times New Roman"/>
          <w:sz w:val="22"/>
          <w:szCs w:val="22"/>
          <w:lang w:eastAsia="hr-HR"/>
        </w:rPr>
      </w:pPr>
      <w:r w:rsidRPr="008E6664">
        <w:rPr>
          <w:rFonts w:ascii="Times New Roman" w:hAnsi="Times New Roman"/>
          <w:sz w:val="22"/>
          <w:szCs w:val="22"/>
          <w:lang w:eastAsia="hr-HR"/>
        </w:rPr>
        <w:t>Članak 1</w:t>
      </w:r>
      <w:r w:rsidR="007C0EBB">
        <w:rPr>
          <w:rFonts w:ascii="Times New Roman" w:hAnsi="Times New Roman"/>
          <w:sz w:val="22"/>
          <w:szCs w:val="22"/>
          <w:lang w:eastAsia="hr-HR"/>
        </w:rPr>
        <w:t>5</w:t>
      </w:r>
      <w:r w:rsidRPr="008E6664">
        <w:rPr>
          <w:rFonts w:ascii="Times New Roman" w:hAnsi="Times New Roman"/>
          <w:sz w:val="22"/>
          <w:szCs w:val="22"/>
          <w:lang w:eastAsia="hr-HR"/>
        </w:rPr>
        <w:t>.</w:t>
      </w:r>
    </w:p>
    <w:p w14:paraId="71C4A0FD" w14:textId="77777777" w:rsidR="00300F3F" w:rsidRPr="008E6664" w:rsidRDefault="00300F3F" w:rsidP="00813B31">
      <w:pPr>
        <w:jc w:val="both"/>
        <w:rPr>
          <w:rFonts w:ascii="Times New Roman" w:hAnsi="Times New Roman"/>
          <w:sz w:val="22"/>
          <w:szCs w:val="22"/>
          <w:lang w:eastAsia="hr-HR"/>
        </w:rPr>
      </w:pPr>
      <w:r w:rsidRPr="008E6664">
        <w:rPr>
          <w:rFonts w:ascii="Times New Roman" w:hAnsi="Times New Roman"/>
          <w:sz w:val="22"/>
          <w:szCs w:val="22"/>
          <w:lang w:eastAsia="hr-HR"/>
        </w:rPr>
        <w:t xml:space="preserve">Danom stupanja na snagu ove odluke, prestaje važiti </w:t>
      </w:r>
      <w:bookmarkStart w:id="3" w:name="_Hlk44659852"/>
      <w:r w:rsidRPr="008E6664">
        <w:rPr>
          <w:rFonts w:ascii="Times New Roman" w:hAnsi="Times New Roman"/>
          <w:sz w:val="22"/>
          <w:szCs w:val="22"/>
          <w:lang w:eastAsia="hr-HR"/>
        </w:rPr>
        <w:t xml:space="preserve">Odluka o komunalnom doprinosu Općine Ernestinovo (Službeni glasnik Općine Ernestinovo, broj </w:t>
      </w:r>
      <w:r>
        <w:rPr>
          <w:rFonts w:ascii="Times New Roman" w:hAnsi="Times New Roman"/>
          <w:sz w:val="22"/>
          <w:szCs w:val="22"/>
          <w:lang w:eastAsia="hr-HR"/>
        </w:rPr>
        <w:t>2</w:t>
      </w:r>
      <w:r w:rsidRPr="008E6664">
        <w:rPr>
          <w:rFonts w:ascii="Times New Roman" w:hAnsi="Times New Roman"/>
          <w:sz w:val="22"/>
          <w:szCs w:val="22"/>
          <w:lang w:eastAsia="hr-HR"/>
        </w:rPr>
        <w:t>/</w:t>
      </w:r>
      <w:r>
        <w:rPr>
          <w:rFonts w:ascii="Times New Roman" w:hAnsi="Times New Roman"/>
          <w:sz w:val="22"/>
          <w:szCs w:val="22"/>
          <w:lang w:eastAsia="hr-HR"/>
        </w:rPr>
        <w:t>2019).</w:t>
      </w:r>
    </w:p>
    <w:bookmarkEnd w:id="3"/>
    <w:p w14:paraId="1F610445" w14:textId="77777777" w:rsidR="00300F3F" w:rsidRPr="008E6664" w:rsidRDefault="00300F3F" w:rsidP="00300F3F">
      <w:pPr>
        <w:jc w:val="both"/>
        <w:rPr>
          <w:rFonts w:ascii="Times New Roman" w:hAnsi="Times New Roman"/>
          <w:sz w:val="22"/>
          <w:szCs w:val="22"/>
          <w:lang w:eastAsia="hr-HR"/>
        </w:rPr>
      </w:pPr>
    </w:p>
    <w:p w14:paraId="67ED965E" w14:textId="77777777" w:rsidR="00300F3F" w:rsidRPr="008E6664" w:rsidRDefault="00300F3F" w:rsidP="00300F3F">
      <w:pPr>
        <w:jc w:val="center"/>
        <w:rPr>
          <w:rFonts w:ascii="Times New Roman" w:hAnsi="Times New Roman"/>
          <w:sz w:val="22"/>
          <w:szCs w:val="22"/>
          <w:lang w:eastAsia="hr-HR"/>
        </w:rPr>
      </w:pPr>
      <w:r w:rsidRPr="008E6664">
        <w:rPr>
          <w:rFonts w:ascii="Times New Roman" w:hAnsi="Times New Roman"/>
          <w:sz w:val="22"/>
          <w:szCs w:val="22"/>
          <w:lang w:eastAsia="hr-HR"/>
        </w:rPr>
        <w:t>Članak 1</w:t>
      </w:r>
      <w:r w:rsidR="007C0EBB">
        <w:rPr>
          <w:rFonts w:ascii="Times New Roman" w:hAnsi="Times New Roman"/>
          <w:sz w:val="22"/>
          <w:szCs w:val="22"/>
          <w:lang w:eastAsia="hr-HR"/>
        </w:rPr>
        <w:t>6</w:t>
      </w:r>
      <w:r w:rsidRPr="008E6664">
        <w:rPr>
          <w:rFonts w:ascii="Times New Roman" w:hAnsi="Times New Roman"/>
          <w:sz w:val="22"/>
          <w:szCs w:val="22"/>
          <w:lang w:eastAsia="hr-HR"/>
        </w:rPr>
        <w:t>.</w:t>
      </w:r>
    </w:p>
    <w:p w14:paraId="20AE830B" w14:textId="0AAD9547" w:rsidR="00300F3F" w:rsidRPr="008E6664" w:rsidRDefault="00300F3F" w:rsidP="00300F3F">
      <w:pPr>
        <w:jc w:val="both"/>
        <w:rPr>
          <w:rFonts w:ascii="Times New Roman" w:hAnsi="Times New Roman"/>
          <w:sz w:val="22"/>
          <w:szCs w:val="22"/>
          <w:lang w:eastAsia="hr-HR"/>
        </w:rPr>
      </w:pPr>
      <w:r w:rsidRPr="008E6664">
        <w:rPr>
          <w:rFonts w:ascii="Times New Roman" w:hAnsi="Times New Roman"/>
          <w:sz w:val="22"/>
          <w:szCs w:val="22"/>
          <w:lang w:eastAsia="hr-HR"/>
        </w:rPr>
        <w:t>Ova odluka stupa na snagu osmog dana od dana objave u Službenom glasniku Općine Ernestinovo.</w:t>
      </w:r>
    </w:p>
    <w:p w14:paraId="61E6103D" w14:textId="77777777" w:rsidR="00300F3F" w:rsidRPr="008E6664" w:rsidRDefault="00300F3F" w:rsidP="00300F3F">
      <w:pPr>
        <w:jc w:val="both"/>
        <w:rPr>
          <w:rFonts w:ascii="Times New Roman" w:hAnsi="Times New Roman"/>
          <w:sz w:val="22"/>
          <w:szCs w:val="22"/>
          <w:lang w:eastAsia="hr-HR"/>
        </w:rPr>
      </w:pPr>
    </w:p>
    <w:p w14:paraId="5209ECCB" w14:textId="6E6D5DD5" w:rsidR="00300F3F" w:rsidRPr="008E6664" w:rsidRDefault="00300F3F" w:rsidP="00300F3F">
      <w:pPr>
        <w:rPr>
          <w:rFonts w:ascii="Times New Roman" w:eastAsiaTheme="minorHAnsi" w:hAnsi="Times New Roman"/>
          <w:sz w:val="22"/>
          <w:szCs w:val="22"/>
        </w:rPr>
      </w:pPr>
      <w:r w:rsidRPr="008E6664">
        <w:rPr>
          <w:rFonts w:ascii="Times New Roman" w:eastAsiaTheme="minorHAnsi" w:hAnsi="Times New Roman"/>
          <w:sz w:val="22"/>
          <w:szCs w:val="22"/>
        </w:rPr>
        <w:t>KLASA: 361-02/</w:t>
      </w:r>
      <w:r>
        <w:rPr>
          <w:rFonts w:ascii="Times New Roman" w:eastAsiaTheme="minorHAnsi" w:hAnsi="Times New Roman"/>
          <w:sz w:val="22"/>
          <w:szCs w:val="22"/>
        </w:rPr>
        <w:t>20</w:t>
      </w:r>
      <w:r w:rsidRPr="008E6664">
        <w:rPr>
          <w:rFonts w:ascii="Times New Roman" w:eastAsiaTheme="minorHAnsi" w:hAnsi="Times New Roman"/>
          <w:sz w:val="22"/>
          <w:szCs w:val="22"/>
        </w:rPr>
        <w:t>-03/</w:t>
      </w:r>
      <w:r w:rsidR="00CB723A">
        <w:rPr>
          <w:rFonts w:ascii="Times New Roman" w:eastAsiaTheme="minorHAnsi" w:hAnsi="Times New Roman"/>
          <w:sz w:val="22"/>
          <w:szCs w:val="22"/>
        </w:rPr>
        <w:t>1</w:t>
      </w:r>
    </w:p>
    <w:p w14:paraId="61CE1284" w14:textId="74B59C00" w:rsidR="00300F3F" w:rsidRPr="008E6664" w:rsidRDefault="00300F3F" w:rsidP="00300F3F">
      <w:pPr>
        <w:rPr>
          <w:rFonts w:ascii="Times New Roman" w:eastAsiaTheme="minorHAnsi" w:hAnsi="Times New Roman"/>
          <w:sz w:val="22"/>
          <w:szCs w:val="22"/>
        </w:rPr>
      </w:pPr>
      <w:r w:rsidRPr="008E6664">
        <w:rPr>
          <w:rFonts w:ascii="Times New Roman" w:eastAsiaTheme="minorHAnsi" w:hAnsi="Times New Roman"/>
          <w:sz w:val="22"/>
          <w:szCs w:val="22"/>
        </w:rPr>
        <w:t>URBROJ: 2158/04-</w:t>
      </w:r>
      <w:r>
        <w:rPr>
          <w:rFonts w:ascii="Times New Roman" w:eastAsiaTheme="minorHAnsi" w:hAnsi="Times New Roman"/>
          <w:sz w:val="22"/>
          <w:szCs w:val="22"/>
        </w:rPr>
        <w:t>01-20</w:t>
      </w:r>
      <w:r w:rsidR="00A615D9">
        <w:rPr>
          <w:rFonts w:ascii="Times New Roman" w:eastAsiaTheme="minorHAnsi" w:hAnsi="Times New Roman"/>
          <w:sz w:val="22"/>
          <w:szCs w:val="22"/>
        </w:rPr>
        <w:t>-</w:t>
      </w:r>
      <w:r w:rsidR="00CB723A">
        <w:rPr>
          <w:rFonts w:ascii="Times New Roman" w:eastAsiaTheme="minorHAnsi" w:hAnsi="Times New Roman"/>
          <w:sz w:val="22"/>
          <w:szCs w:val="22"/>
        </w:rPr>
        <w:t>1</w:t>
      </w:r>
    </w:p>
    <w:p w14:paraId="39A94BF0" w14:textId="2B45C015" w:rsidR="00300F3F" w:rsidRPr="008E6664" w:rsidRDefault="00300F3F" w:rsidP="00300F3F">
      <w:pPr>
        <w:rPr>
          <w:rFonts w:ascii="Times New Roman" w:eastAsiaTheme="minorHAnsi" w:hAnsi="Times New Roman"/>
          <w:sz w:val="22"/>
          <w:szCs w:val="22"/>
        </w:rPr>
      </w:pPr>
      <w:r w:rsidRPr="008E6664">
        <w:rPr>
          <w:rFonts w:ascii="Times New Roman" w:eastAsiaTheme="minorHAnsi" w:hAnsi="Times New Roman"/>
          <w:sz w:val="22"/>
          <w:szCs w:val="22"/>
        </w:rPr>
        <w:t xml:space="preserve">Ernestinovo, </w:t>
      </w:r>
      <w:r w:rsidR="00A615D9">
        <w:rPr>
          <w:rFonts w:ascii="Times New Roman" w:eastAsiaTheme="minorHAnsi" w:hAnsi="Times New Roman"/>
          <w:sz w:val="22"/>
          <w:szCs w:val="22"/>
        </w:rPr>
        <w:t>9. rujna</w:t>
      </w:r>
      <w:r w:rsidR="00F769DB">
        <w:rPr>
          <w:rFonts w:ascii="Times New Roman" w:eastAsiaTheme="minorHAnsi" w:hAnsi="Times New Roman"/>
          <w:sz w:val="22"/>
          <w:szCs w:val="22"/>
        </w:rPr>
        <w:t xml:space="preserve"> </w:t>
      </w:r>
      <w:r w:rsidRPr="008E6664">
        <w:rPr>
          <w:rFonts w:ascii="Times New Roman" w:eastAsiaTheme="minorHAnsi" w:hAnsi="Times New Roman"/>
          <w:sz w:val="22"/>
          <w:szCs w:val="22"/>
        </w:rPr>
        <w:t>20</w:t>
      </w:r>
      <w:r>
        <w:rPr>
          <w:rFonts w:ascii="Times New Roman" w:eastAsiaTheme="minorHAnsi" w:hAnsi="Times New Roman"/>
          <w:sz w:val="22"/>
          <w:szCs w:val="22"/>
        </w:rPr>
        <w:t>20</w:t>
      </w:r>
      <w:r w:rsidRPr="008E6664">
        <w:rPr>
          <w:rFonts w:ascii="Times New Roman" w:eastAsiaTheme="minorHAnsi" w:hAnsi="Times New Roman"/>
          <w:sz w:val="22"/>
          <w:szCs w:val="22"/>
        </w:rPr>
        <w:t>.</w:t>
      </w:r>
    </w:p>
    <w:p w14:paraId="2ED304F0" w14:textId="77777777" w:rsidR="00300F3F" w:rsidRPr="008E6664" w:rsidRDefault="00300F3F" w:rsidP="00300F3F">
      <w:pPr>
        <w:rPr>
          <w:rFonts w:ascii="Times New Roman" w:eastAsiaTheme="minorHAnsi" w:hAnsi="Times New Roman"/>
          <w:sz w:val="22"/>
          <w:szCs w:val="22"/>
        </w:rPr>
      </w:pPr>
    </w:p>
    <w:p w14:paraId="7071415A" w14:textId="77777777" w:rsidR="00300F3F" w:rsidRPr="008E6664" w:rsidRDefault="00300F3F" w:rsidP="00300F3F">
      <w:pPr>
        <w:ind w:left="6480"/>
        <w:jc w:val="center"/>
        <w:rPr>
          <w:rFonts w:ascii="Times New Roman" w:eastAsiaTheme="minorHAnsi" w:hAnsi="Times New Roman"/>
          <w:sz w:val="22"/>
          <w:szCs w:val="22"/>
        </w:rPr>
      </w:pPr>
      <w:r w:rsidRPr="008E6664">
        <w:rPr>
          <w:rFonts w:ascii="Times New Roman" w:eastAsiaTheme="minorHAnsi" w:hAnsi="Times New Roman"/>
          <w:sz w:val="22"/>
          <w:szCs w:val="22"/>
        </w:rPr>
        <w:t>Predsjednik</w:t>
      </w:r>
    </w:p>
    <w:p w14:paraId="43E5158D" w14:textId="77777777" w:rsidR="00300F3F" w:rsidRPr="008E6664" w:rsidRDefault="00300F3F" w:rsidP="0032065D">
      <w:pPr>
        <w:ind w:left="6480"/>
        <w:jc w:val="center"/>
        <w:rPr>
          <w:rFonts w:ascii="Times New Roman" w:eastAsiaTheme="minorHAnsi" w:hAnsi="Times New Roman"/>
          <w:sz w:val="22"/>
          <w:szCs w:val="22"/>
        </w:rPr>
      </w:pPr>
      <w:r w:rsidRPr="008E6664">
        <w:rPr>
          <w:rFonts w:ascii="Times New Roman" w:eastAsiaTheme="minorHAnsi" w:hAnsi="Times New Roman"/>
          <w:sz w:val="22"/>
          <w:szCs w:val="22"/>
        </w:rPr>
        <w:t>Općinskog vijeća</w:t>
      </w:r>
    </w:p>
    <w:p w14:paraId="4678A5CD" w14:textId="77777777" w:rsidR="00CC69BB" w:rsidRPr="0032065D" w:rsidRDefault="00300F3F" w:rsidP="0032065D">
      <w:pPr>
        <w:ind w:left="6480"/>
        <w:jc w:val="center"/>
        <w:rPr>
          <w:rFonts w:ascii="Times New Roman" w:eastAsiaTheme="minorHAnsi" w:hAnsi="Times New Roman"/>
          <w:sz w:val="22"/>
          <w:szCs w:val="22"/>
        </w:rPr>
      </w:pPr>
      <w:r w:rsidRPr="008E6664">
        <w:rPr>
          <w:rFonts w:ascii="Times New Roman" w:eastAsiaTheme="minorHAnsi" w:hAnsi="Times New Roman"/>
          <w:sz w:val="22"/>
          <w:szCs w:val="22"/>
        </w:rPr>
        <w:t>Krunoslav Dragičević</w:t>
      </w:r>
    </w:p>
    <w:sectPr w:rsidR="00CC69BB" w:rsidRPr="0032065D">
      <w:footerReference w:type="default" r:id="rId7"/>
      <w:pgSz w:w="11906" w:h="16838"/>
      <w:pgMar w:top="125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A5183" w14:textId="77777777" w:rsidR="009B6B19" w:rsidRDefault="009B6B19">
      <w:r>
        <w:separator/>
      </w:r>
    </w:p>
  </w:endnote>
  <w:endnote w:type="continuationSeparator" w:id="0">
    <w:p w14:paraId="2C88AC65" w14:textId="77777777" w:rsidR="009B6B19" w:rsidRDefault="009B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8044415"/>
      <w:docPartObj>
        <w:docPartGallery w:val="Page Numbers (Bottom of Page)"/>
        <w:docPartUnique/>
      </w:docPartObj>
    </w:sdtPr>
    <w:sdtEndPr/>
    <w:sdtContent>
      <w:p w14:paraId="359576E9" w14:textId="77777777" w:rsidR="00B269B5" w:rsidRDefault="00300F3F">
        <w:pPr>
          <w:pStyle w:val="Podnoje"/>
          <w:jc w:val="center"/>
        </w:pPr>
        <w:r w:rsidRPr="00B269B5">
          <w:rPr>
            <w:rFonts w:asciiTheme="minorHAnsi" w:hAnsiTheme="minorHAnsi"/>
            <w:sz w:val="22"/>
            <w:szCs w:val="22"/>
          </w:rPr>
          <w:fldChar w:fldCharType="begin"/>
        </w:r>
        <w:r w:rsidRPr="00B269B5">
          <w:rPr>
            <w:rFonts w:asciiTheme="minorHAnsi" w:hAnsiTheme="minorHAnsi"/>
            <w:sz w:val="22"/>
            <w:szCs w:val="22"/>
          </w:rPr>
          <w:instrText>PAGE   \* MERGEFORMAT</w:instrText>
        </w:r>
        <w:r w:rsidRPr="00B269B5">
          <w:rPr>
            <w:rFonts w:asciiTheme="minorHAnsi" w:hAnsiTheme="minorHAnsi"/>
            <w:sz w:val="22"/>
            <w:szCs w:val="22"/>
          </w:rPr>
          <w:fldChar w:fldCharType="separate"/>
        </w:r>
        <w:r>
          <w:rPr>
            <w:rFonts w:asciiTheme="minorHAnsi" w:hAnsiTheme="minorHAnsi"/>
            <w:noProof/>
            <w:sz w:val="22"/>
            <w:szCs w:val="22"/>
          </w:rPr>
          <w:t>1</w:t>
        </w:r>
        <w:r w:rsidRPr="00B269B5">
          <w:rPr>
            <w:rFonts w:asciiTheme="minorHAnsi" w:hAnsiTheme="minorHAnsi"/>
            <w:sz w:val="22"/>
            <w:szCs w:val="22"/>
          </w:rPr>
          <w:fldChar w:fldCharType="end"/>
        </w:r>
      </w:p>
    </w:sdtContent>
  </w:sdt>
  <w:p w14:paraId="41FF9479" w14:textId="77777777" w:rsidR="00B269B5" w:rsidRDefault="009B6B1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EE8BD" w14:textId="77777777" w:rsidR="009B6B19" w:rsidRDefault="009B6B19">
      <w:r>
        <w:separator/>
      </w:r>
    </w:p>
  </w:footnote>
  <w:footnote w:type="continuationSeparator" w:id="0">
    <w:p w14:paraId="38839A58" w14:textId="77777777" w:rsidR="009B6B19" w:rsidRDefault="009B6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63BAC"/>
    <w:multiLevelType w:val="hybridMultilevel"/>
    <w:tmpl w:val="03E25394"/>
    <w:lvl w:ilvl="0" w:tplc="AB2888C4">
      <w:start w:val="1"/>
      <w:numFmt w:val="upperRoman"/>
      <w:lvlText w:val="%1."/>
      <w:lvlJc w:val="left"/>
      <w:pPr>
        <w:ind w:left="1080" w:hanging="72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1852117"/>
    <w:multiLevelType w:val="hybridMultilevel"/>
    <w:tmpl w:val="29FAC5C6"/>
    <w:lvl w:ilvl="0" w:tplc="D35AA7B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BE937FA"/>
    <w:multiLevelType w:val="hybridMultilevel"/>
    <w:tmpl w:val="D9AE8F52"/>
    <w:lvl w:ilvl="0" w:tplc="AFDC175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5A1210F"/>
    <w:multiLevelType w:val="hybridMultilevel"/>
    <w:tmpl w:val="528AE784"/>
    <w:lvl w:ilvl="0" w:tplc="84067E5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F2D22FA"/>
    <w:multiLevelType w:val="hybridMultilevel"/>
    <w:tmpl w:val="260A9A8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3F"/>
    <w:rsid w:val="00031632"/>
    <w:rsid w:val="00100AA8"/>
    <w:rsid w:val="00234CD5"/>
    <w:rsid w:val="002A2E9A"/>
    <w:rsid w:val="00300F3F"/>
    <w:rsid w:val="00307D2B"/>
    <w:rsid w:val="0032065D"/>
    <w:rsid w:val="004C1E5D"/>
    <w:rsid w:val="004F65FE"/>
    <w:rsid w:val="00515DC6"/>
    <w:rsid w:val="00577A23"/>
    <w:rsid w:val="00765CD5"/>
    <w:rsid w:val="007C0EBB"/>
    <w:rsid w:val="007F57AD"/>
    <w:rsid w:val="00813B31"/>
    <w:rsid w:val="00887B7B"/>
    <w:rsid w:val="00904CCF"/>
    <w:rsid w:val="009760AE"/>
    <w:rsid w:val="009B6B19"/>
    <w:rsid w:val="00A615D9"/>
    <w:rsid w:val="00AC1501"/>
    <w:rsid w:val="00AE25AD"/>
    <w:rsid w:val="00C24984"/>
    <w:rsid w:val="00CB723A"/>
    <w:rsid w:val="00CC69BB"/>
    <w:rsid w:val="00D604BF"/>
    <w:rsid w:val="00DA417A"/>
    <w:rsid w:val="00DD3B48"/>
    <w:rsid w:val="00E81343"/>
    <w:rsid w:val="00EA6EA4"/>
    <w:rsid w:val="00F10889"/>
    <w:rsid w:val="00F769DB"/>
    <w:rsid w:val="00FA78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AEF0"/>
  <w15:chartTrackingRefBased/>
  <w15:docId w15:val="{58CEC3A3-6C19-40AF-9126-608F1D9A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F3F"/>
    <w:pPr>
      <w:spacing w:after="0" w:line="240" w:lineRule="auto"/>
    </w:pPr>
    <w:rPr>
      <w:rFonts w:ascii="Arial" w:eastAsia="Times New Roman" w:hAnsi="Arial"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00F3F"/>
    <w:pPr>
      <w:ind w:left="720"/>
      <w:contextualSpacing/>
    </w:pPr>
  </w:style>
  <w:style w:type="paragraph" w:styleId="Podnoje">
    <w:name w:val="footer"/>
    <w:basedOn w:val="Normal"/>
    <w:link w:val="PodnojeChar"/>
    <w:uiPriority w:val="99"/>
    <w:unhideWhenUsed/>
    <w:rsid w:val="00300F3F"/>
    <w:pPr>
      <w:tabs>
        <w:tab w:val="center" w:pos="4536"/>
        <w:tab w:val="right" w:pos="9072"/>
      </w:tabs>
    </w:pPr>
  </w:style>
  <w:style w:type="character" w:customStyle="1" w:styleId="PodnojeChar">
    <w:name w:val="Podnožje Char"/>
    <w:basedOn w:val="Zadanifontodlomka"/>
    <w:link w:val="Podnoje"/>
    <w:uiPriority w:val="99"/>
    <w:rsid w:val="00300F3F"/>
    <w:rPr>
      <w:rFonts w:ascii="Arial" w:eastAsia="Times New Roman" w:hAnsi="Arial" w:cs="Times New Roman"/>
      <w:sz w:val="24"/>
      <w:szCs w:val="24"/>
    </w:rPr>
  </w:style>
  <w:style w:type="table" w:styleId="Obinatablica4">
    <w:name w:val="Plain Table 4"/>
    <w:basedOn w:val="Obinatablica"/>
    <w:uiPriority w:val="44"/>
    <w:rsid w:val="00300F3F"/>
    <w:pPr>
      <w:spacing w:after="0" w:line="240" w:lineRule="auto"/>
    </w:pPr>
    <w:rPr>
      <w:rFonts w:ascii="Times New Roman" w:eastAsia="Times New Roman" w:hAnsi="Times New Roman" w:cs="Times New Roman"/>
      <w:sz w:val="20"/>
      <w:szCs w:val="20"/>
      <w:lang w:eastAsia="hr-H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Zaglavlje">
    <w:name w:val="header"/>
    <w:basedOn w:val="Normal"/>
    <w:link w:val="ZaglavljeChar"/>
    <w:uiPriority w:val="99"/>
    <w:unhideWhenUsed/>
    <w:rsid w:val="00AC1501"/>
    <w:pPr>
      <w:tabs>
        <w:tab w:val="center" w:pos="4536"/>
        <w:tab w:val="right" w:pos="9072"/>
      </w:tabs>
    </w:pPr>
  </w:style>
  <w:style w:type="character" w:customStyle="1" w:styleId="ZaglavljeChar">
    <w:name w:val="Zaglavlje Char"/>
    <w:basedOn w:val="Zadanifontodlomka"/>
    <w:link w:val="Zaglavlje"/>
    <w:uiPriority w:val="99"/>
    <w:rsid w:val="00AC1501"/>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1468</Words>
  <Characters>8368</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procelnik@ernestinovo.hr</dc:creator>
  <cp:keywords/>
  <dc:description/>
  <cp:lastModifiedBy>procelnik@ernestinovo.hr</cp:lastModifiedBy>
  <cp:revision>3</cp:revision>
  <dcterms:created xsi:type="dcterms:W3CDTF">2020-09-03T06:51:00Z</dcterms:created>
  <dcterms:modified xsi:type="dcterms:W3CDTF">2020-09-10T11:33:00Z</dcterms:modified>
</cp:coreProperties>
</file>