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50f51219044b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35888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ERNESTINOVO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2.377.502,92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2.714.958,67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1.124.417,98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1.541.746,17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1.253.084,94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1.173.212,50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86.799,19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562.797,98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1.613.415,92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475.998,79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1.612.621,12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439.408,62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 obračunskom razdoblju, Općina Ernestinovo je ostvarila višak prihoda poslovanja u iznosu od 1.173.212,50 €, dok dok su ukupni rashodi za nabavu nefinancijske imovine bili veći od ukupnih prihoda od prodaje nefinancijske imovine u iznosu za 1.612.621,12 €, te je tako ostvaren manjak prihoda i primitaka u iznosu od 439.408,62. Razlog tome je što nije bilo prihoda od prodaje nefinancijske imovine, a nabavljala se oprema te izvodili radovi. Preneseni višak prihoda iz prošlog obračunskog razdoblja iznosio je 1.154.598,72 € , te će se s njim pokriti manjak prihoda od nefinancijske imovine koji je nastao u ovom razdoblju.  Višak prihoda koji je raspoloživ u sljedećem razdoblju iznosi 715.190,10 €.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6.517,03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kraju ovog izvještajnog razdoblja evidentirane su dospjele obveze u iznosu od 6.517,03. 
Iako je u  izvještaju navedeno da je jedan račun ( T-com, ufa 628 ) imao prekoračenje od 180-360 dana, provjerom je utvrđeno da je kašnjenje iznosilo 16 dana.
Do sastavljanja ovog izvještaja, račun je plaćen.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5.947,11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Ovaj iznos bi trebao biti u nedospjelim obvezama.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51cc6579f44985" /></Relationships>
</file>