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5224"/>
      </w:tblGrid>
      <w:tr w:rsidR="005B0986" w:rsidRPr="00380E25" w14:paraId="0E2FAF99" w14:textId="77777777" w:rsidTr="003C082C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D97FF6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14:paraId="2B0ED650" w14:textId="77777777"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14:paraId="0BD47F2D" w14:textId="6514B538" w:rsidR="003C082C" w:rsidRPr="00380E25" w:rsidRDefault="003C082C" w:rsidP="00A5323D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</w:t>
            </w:r>
            <w:r w:rsidR="00635B2E" w:rsidRP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 određivanju imena mosta preko rijeke Vuke</w:t>
            </w:r>
          </w:p>
          <w:p w14:paraId="721F9C2A" w14:textId="1DABDB83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Jedinstveni 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upravni </w:t>
            </w:r>
            <w:r w:rsidR="003C08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odjel</w:t>
            </w:r>
          </w:p>
          <w:p w14:paraId="41B6E7A7" w14:textId="25AB0E50" w:rsidR="005B0986" w:rsidRPr="00380E25" w:rsidRDefault="003C082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Ernestinovo, 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8. prosinca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202</w:t>
            </w:r>
            <w:r w:rsidR="00635B2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 w:rsidR="00C5211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godine </w:t>
            </w:r>
          </w:p>
          <w:p w14:paraId="20E1B6D4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0D648FF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70261F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7734D2D" w14:textId="410FADD8" w:rsidR="00635B2E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Prijedlog Odluke o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635B2E"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određivanju imena mosta preko rijeke Vuke</w:t>
            </w:r>
          </w:p>
        </w:tc>
      </w:tr>
      <w:tr w:rsidR="005B0986" w:rsidRPr="00380E25" w14:paraId="605C8E4B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5F4B22D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645D4F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</w:t>
            </w:r>
          </w:p>
        </w:tc>
      </w:tr>
      <w:tr w:rsidR="005B0986" w:rsidRPr="00380E25" w14:paraId="78AF16B7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9CBB0F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492ABEE" w14:textId="1CF40658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temeljem članka 41. Statuta Općine Ernestinovo (Službeni glasnik Općine Ernestinovo  broj 2/21 i 3/21))</w:t>
            </w:r>
          </w:p>
          <w:p w14:paraId="29DA821C" w14:textId="77777777" w:rsidR="00635B2E" w:rsidRPr="00635B2E" w:rsidRDefault="00635B2E" w:rsidP="00635B2E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>Pravna osnova:</w:t>
            </w:r>
            <w:r w:rsidRPr="00635B2E">
              <w:rPr>
                <w:rFonts w:ascii="Arial Narrow" w:hAnsi="Arial Narrow" w:cs="Times New Roman"/>
                <w:bCs/>
                <w:sz w:val="20"/>
                <w:szCs w:val="20"/>
              </w:rPr>
              <w:tab/>
              <w:t>Zakon o naseljima ("Narodne novine" broj 39/22)</w:t>
            </w:r>
          </w:p>
          <w:p w14:paraId="130317A7" w14:textId="5DEE9338" w:rsidR="005B0986" w:rsidRPr="00380E25" w:rsidRDefault="005B0986" w:rsidP="003C082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14:paraId="3EA39E1A" w14:textId="77777777" w:rsidTr="003C082C">
        <w:trPr>
          <w:trHeight w:val="525"/>
        </w:trPr>
        <w:tc>
          <w:tcPr>
            <w:tcW w:w="3838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075B65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4A27B4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8E2018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4161696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5115EB6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F413AC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https://www.ernestinovo.hr/transparentnost-rada/savjetovanje-sa-zainteresiranom-javnoscu/</w:t>
            </w:r>
          </w:p>
        </w:tc>
      </w:tr>
      <w:tr w:rsidR="005B0986" w:rsidRPr="00380E25" w14:paraId="291FF5DD" w14:textId="77777777" w:rsidTr="003C082C">
        <w:trPr>
          <w:trHeight w:val="1499"/>
        </w:trPr>
        <w:tc>
          <w:tcPr>
            <w:tcW w:w="3838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F5258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ACD2CE" w14:textId="569FD52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3C082C">
              <w:rPr>
                <w:rFonts w:ascii="Arial Narrow" w:hAnsi="Arial Narrow" w:cs="Times New Roman"/>
                <w:bCs/>
                <w:sz w:val="20"/>
                <w:szCs w:val="20"/>
              </w:rPr>
              <w:t>Savjetovanje s javnošću je otvoreno od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7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studenog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</w:t>
            </w:r>
            <w:r w:rsidR="00635B2E">
              <w:rPr>
                <w:rFonts w:ascii="Arial Narrow" w:hAnsi="Arial Narrow" w:cs="Times New Roman"/>
                <w:bCs/>
                <w:sz w:val="20"/>
                <w:szCs w:val="20"/>
              </w:rPr>
              <w:t>23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godine do 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7. prosinca 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>202</w:t>
            </w:r>
            <w:r w:rsidR="00EC2B0D">
              <w:rPr>
                <w:rFonts w:ascii="Arial Narrow" w:hAnsi="Arial Narrow" w:cs="Times New Roman"/>
                <w:bCs/>
                <w:sz w:val="20"/>
                <w:szCs w:val="20"/>
              </w:rPr>
              <w:t>3</w:t>
            </w:r>
            <w:r w:rsidR="00C5211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.godine. </w:t>
            </w:r>
          </w:p>
        </w:tc>
      </w:tr>
      <w:tr w:rsidR="005B0986" w:rsidRPr="00380E25" w14:paraId="4281DE4E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27EEA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AA466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bilo prijedloga i primjedbi.</w:t>
            </w:r>
          </w:p>
        </w:tc>
      </w:tr>
      <w:tr w:rsidR="005B0986" w:rsidRPr="00380E25" w14:paraId="296AEA9F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B3A3CEB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3FAA08" w14:textId="77777777" w:rsidR="005B0986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Nije primjenjivo (nije bilo prijedloga i primjedbi).</w:t>
            </w:r>
          </w:p>
        </w:tc>
      </w:tr>
      <w:tr w:rsidR="005B0986" w:rsidRPr="00380E25" w14:paraId="3D1A08C3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B796F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6C32A" w14:textId="77777777" w:rsidR="00710D22" w:rsidRPr="00380E25" w:rsidRDefault="003C082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Nema.</w:t>
            </w:r>
          </w:p>
        </w:tc>
      </w:tr>
      <w:tr w:rsidR="005B0986" w:rsidRPr="00380E25" w14:paraId="769EA25A" w14:textId="77777777" w:rsidTr="003C082C">
        <w:tc>
          <w:tcPr>
            <w:tcW w:w="383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ACEE6E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22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E7CD906" w14:textId="77777777" w:rsidR="005B0986" w:rsidRPr="00380E25" w:rsidRDefault="003C082C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0,00 kn</w:t>
            </w:r>
          </w:p>
        </w:tc>
      </w:tr>
    </w:tbl>
    <w:p w14:paraId="3EC75B78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14:paraId="010CDF58" w14:textId="77777777"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14:paraId="16B9D580" w14:textId="77777777" w:rsidTr="00941D1C">
        <w:tc>
          <w:tcPr>
            <w:tcW w:w="773" w:type="dxa"/>
            <w:vAlign w:val="center"/>
          </w:tcPr>
          <w:p w14:paraId="65E0D0CA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CB6BA7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091C2773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18220D85" w14:textId="77777777"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6D6D5745" w14:textId="77777777"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14:paraId="029128CE" w14:textId="77777777" w:rsidTr="00941D1C">
        <w:trPr>
          <w:trHeight w:val="567"/>
        </w:trPr>
        <w:tc>
          <w:tcPr>
            <w:tcW w:w="773" w:type="dxa"/>
          </w:tcPr>
          <w:p w14:paraId="72404479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68FBFE8" w14:textId="77777777" w:rsidR="00E738EC" w:rsidRPr="00E738EC" w:rsidRDefault="003C082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Nije primjenjivo.</w:t>
            </w:r>
          </w:p>
        </w:tc>
        <w:tc>
          <w:tcPr>
            <w:tcW w:w="1984" w:type="dxa"/>
          </w:tcPr>
          <w:p w14:paraId="73C1FB20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14:paraId="73CBDE47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F1B3A1C" w14:textId="77777777"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5D71837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86"/>
    <w:rsid w:val="00053D88"/>
    <w:rsid w:val="001907B5"/>
    <w:rsid w:val="003C082C"/>
    <w:rsid w:val="004161FA"/>
    <w:rsid w:val="00504138"/>
    <w:rsid w:val="005B0986"/>
    <w:rsid w:val="00635B2E"/>
    <w:rsid w:val="00710D22"/>
    <w:rsid w:val="00861A01"/>
    <w:rsid w:val="00A5323D"/>
    <w:rsid w:val="00B72F50"/>
    <w:rsid w:val="00C52115"/>
    <w:rsid w:val="00D427D8"/>
    <w:rsid w:val="00E738EC"/>
    <w:rsid w:val="00EC2B0D"/>
    <w:rsid w:val="00EC347B"/>
    <w:rsid w:val="00F742DA"/>
    <w:rsid w:val="00FD1166"/>
    <w:rsid w:val="00FE23A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7C0"/>
  <w15:docId w15:val="{3409CAA9-B560-4E72-BEE1-57855B3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Švast</cp:lastModifiedBy>
  <cp:revision>3</cp:revision>
  <dcterms:created xsi:type="dcterms:W3CDTF">2024-01-08T08:21:00Z</dcterms:created>
  <dcterms:modified xsi:type="dcterms:W3CDTF">2024-01-08T09:02:00Z</dcterms:modified>
</cp:coreProperties>
</file>