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482F" w14:textId="1055323A" w:rsidR="007351D4" w:rsidRPr="007351D4" w:rsidRDefault="007351D4" w:rsidP="009E40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351D4">
        <w:rPr>
          <w:rFonts w:ascii="Times New Roman" w:eastAsia="Times New Roman" w:hAnsi="Times New Roman" w:cs="Times New Roman"/>
          <w:lang w:eastAsia="hr-HR"/>
        </w:rPr>
        <w:t>Na temelju članka</w:t>
      </w:r>
      <w:r>
        <w:rPr>
          <w:rFonts w:ascii="Times New Roman" w:eastAsia="Times New Roman" w:hAnsi="Times New Roman" w:cs="Times New Roman"/>
          <w:lang w:eastAsia="hr-HR"/>
        </w:rPr>
        <w:t xml:space="preserve"> 18. Zakona o proračunu („Narodne novine“, br. 144/21) i članka 30. Statuta Općine Ernestinovo(„</w:t>
      </w:r>
      <w:r w:rsidR="00505C87">
        <w:rPr>
          <w:rFonts w:ascii="Times New Roman" w:eastAsia="Times New Roman" w:hAnsi="Times New Roman" w:cs="Times New Roman"/>
          <w:lang w:eastAsia="hr-HR"/>
        </w:rPr>
        <w:t xml:space="preserve">Službeni glasnik“ Općine Ernestinovo, </w:t>
      </w:r>
      <w:r>
        <w:rPr>
          <w:rFonts w:ascii="Times New Roman" w:eastAsia="Times New Roman" w:hAnsi="Times New Roman" w:cs="Times New Roman"/>
          <w:lang w:eastAsia="hr-HR"/>
        </w:rPr>
        <w:t>br. 2/21 i 3/21), Općinsko vijeće Općine</w:t>
      </w:r>
      <w:r w:rsidR="009E40E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Ernestinovo, na svojoj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</w:t>
      </w:r>
      <w:r w:rsidR="009E40E6">
        <w:rPr>
          <w:rFonts w:ascii="Times New Roman" w:eastAsia="Times New Roman" w:hAnsi="Times New Roman" w:cs="Times New Roman"/>
          <w:lang w:eastAsia="hr-HR"/>
        </w:rPr>
        <w:t>30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.sjednici, održanoj dana </w:t>
      </w:r>
      <w:r w:rsidR="009E40E6">
        <w:rPr>
          <w:rFonts w:ascii="Times New Roman" w:eastAsia="Times New Roman" w:hAnsi="Times New Roman" w:cs="Times New Roman"/>
          <w:lang w:eastAsia="hr-HR"/>
        </w:rPr>
        <w:t>27</w:t>
      </w:r>
      <w:r w:rsidR="0085026E">
        <w:rPr>
          <w:rFonts w:ascii="Times New Roman" w:eastAsia="Times New Roman" w:hAnsi="Times New Roman" w:cs="Times New Roman"/>
          <w:lang w:eastAsia="hr-HR"/>
        </w:rPr>
        <w:t>.</w:t>
      </w:r>
      <w:r w:rsidR="00881672">
        <w:rPr>
          <w:rFonts w:ascii="Times New Roman" w:eastAsia="Times New Roman" w:hAnsi="Times New Roman" w:cs="Times New Roman"/>
          <w:lang w:eastAsia="hr-HR"/>
        </w:rPr>
        <w:t>studenog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881672">
        <w:rPr>
          <w:rFonts w:ascii="Times New Roman" w:eastAsia="Times New Roman" w:hAnsi="Times New Roman" w:cs="Times New Roman"/>
          <w:lang w:eastAsia="hr-HR"/>
        </w:rPr>
        <w:t>3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.godine, donijelo je </w:t>
      </w:r>
    </w:p>
    <w:p w14:paraId="58A09095" w14:textId="77777777" w:rsidR="007351D4" w:rsidRDefault="007351D4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4DFFF22" w14:textId="47671515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D L U K U</w:t>
      </w:r>
    </w:p>
    <w:p w14:paraId="604B8F1F" w14:textId="20EDBA25" w:rsidR="00F13401" w:rsidRPr="008B709D" w:rsidRDefault="00F13401" w:rsidP="00F134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izvr</w:t>
      </w:r>
      <w:r w:rsidR="00881672">
        <w:rPr>
          <w:rFonts w:ascii="Times New Roman" w:eastAsia="Times New Roman" w:hAnsi="Times New Roman" w:cs="Times New Roman"/>
          <w:b/>
          <w:bCs/>
          <w:lang w:eastAsia="hr-HR"/>
        </w:rPr>
        <w:t>šavanju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Proračuna Općine Ernestinovo </w:t>
      </w:r>
    </w:p>
    <w:p w14:paraId="4DBE74F3" w14:textId="255E04E6" w:rsidR="00F13401" w:rsidRPr="008B709D" w:rsidRDefault="00F13401" w:rsidP="00F1340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 za 202</w:t>
      </w:r>
      <w:r w:rsidR="00881672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. godinu</w:t>
      </w:r>
    </w:p>
    <w:p w14:paraId="1E995C3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C730D21" w14:textId="23F9A14B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="00133E4F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OPĆE ODREDBE</w:t>
      </w:r>
    </w:p>
    <w:p w14:paraId="64CBADD0" w14:textId="77777777" w:rsidR="00F13401" w:rsidRPr="008B709D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D7E418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1.</w:t>
      </w:r>
    </w:p>
    <w:p w14:paraId="2144A6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uređuje se struktura prihoda i primitaka te rashoda i izdataka Proračuna i njegovo izvršavanje, opseg zaduživanja, upravljanje financijskom i nefinancijskom imovinom, prava i obveze proračunskih korisnika, pojedine ovlasti načelnika u izvršavanju proračuna.</w:t>
      </w:r>
    </w:p>
    <w:p w14:paraId="61B79AC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B9159C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2.</w:t>
      </w:r>
    </w:p>
    <w:p w14:paraId="30892AC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 se sastoji od Općeg i Posebnog dijela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14:paraId="193B10D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 dio Proračuna sadrži: Račun prihoda i rashoda  i račun financiranja.</w:t>
      </w:r>
    </w:p>
    <w:p w14:paraId="0A01442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Računu prihoda i rashoda iskazani su prihodi poslovanja i prihodi od prodaje nefinancijske imovine, te rashodi poslovanja i rashodi za nabavu nefinancijske imovine.</w:t>
      </w:r>
    </w:p>
    <w:p w14:paraId="6DA022F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Posebni dio Proračuna sastoji se od plana rashoda i izdataka proračunskih korisnika iskazanih po vrstama, raspoređenih u programe koji se sastoje od aktivnosti i projekata.</w:t>
      </w:r>
    </w:p>
    <w:p w14:paraId="3369802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65EA5F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5C87DB1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rashode i izdatke korisnika Proračuna osiguravaju se proračunskim korisnicima koji su u njegovu Posebnom dijelu određeni za nositelje sredstava.</w:t>
      </w:r>
    </w:p>
    <w:p w14:paraId="62EE039C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D5F39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0AE897" w14:textId="3AAD7DC2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</w:t>
      </w:r>
      <w:r w:rsidR="00133E4F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IZVRŠAVANJE PRORAČUNA</w:t>
      </w:r>
    </w:p>
    <w:p w14:paraId="4989F5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CA48044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7CB0732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Proračunska sredstva koriste se samo za namjene koje su određene Proračunom i to do visine utvrđene u njegovom posebnom dijelu.</w:t>
      </w:r>
    </w:p>
    <w:p w14:paraId="183ECA4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Rashodi i izdaci Proračuna koji se financiraju iz namjenskih prihoda i primitaka izvršavat će se do iznosa naplaćenih prihoda i primitaka za te namjene.</w:t>
      </w:r>
    </w:p>
    <w:p w14:paraId="3BE3E71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Iznimno od odredbe stavka 2. ovog članka, Načelnik može odlučiti da se pojedini rashodi i izdaci pokrivaju i na teret ostalih proračunskih prihoda, a najviše do visine planiranih iznosa.</w:t>
      </w:r>
    </w:p>
    <w:p w14:paraId="3124D4D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Namjenski prihodi i primici koji ne budu iskorišteni u ovoj proračunskoj godini prenose se u narednu proračunsku godinu.</w:t>
      </w:r>
    </w:p>
    <w:p w14:paraId="6D0514A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aktivnosti i projekte koja se izvršavaju kao subvencije, donacije i pomoći pojedinom korisniku, raspoređuje Načelnik ako krajnji korisnik nije utvrđen u Posebnom dijelu Proračuna, programu javnih potreba ili drugom aktu Općinskog vijeća.</w:t>
      </w:r>
    </w:p>
    <w:p w14:paraId="76F5B2B0" w14:textId="77777777" w:rsidR="00F13401" w:rsidRPr="008B709D" w:rsidRDefault="00F13401" w:rsidP="00F1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14:paraId="4AD50558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12DA7E03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prihodi Proračuna ne naplaćuju u planiranim svotama i planiranoj dinamici tijekom godine,  prvo se podmiruju izdaci za redovitu djelatnost Jedinstvenog upravnog odijela i Komunalnog pogona.</w:t>
      </w:r>
    </w:p>
    <w:p w14:paraId="5E0EA989" w14:textId="77777777" w:rsidR="007351D4" w:rsidRDefault="007351D4" w:rsidP="0088167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0EC8AAE" w14:textId="0B6C8A9F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6.</w:t>
      </w:r>
    </w:p>
    <w:p w14:paraId="0AC87E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se koriste za utvrđene namjene štedljivo i u skladu s propisima o korištenju odnosno raspolaganju tim sredstvima. Nadzor nad korištenjem Proračunskih sredstava obavlja se u skladu sa Zakonom o Proračunu.</w:t>
      </w:r>
    </w:p>
    <w:p w14:paraId="48B4AEF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A7FB13" w14:textId="2CBE4834" w:rsidR="00F13401" w:rsidRPr="00133E4F" w:rsidRDefault="00F13401" w:rsidP="00881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7.</w:t>
      </w:r>
    </w:p>
    <w:p w14:paraId="194AD2E0" w14:textId="08B72B7E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Godišnji proračun izvršava se do 31. prosinca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881672">
        <w:rPr>
          <w:rFonts w:ascii="Times New Roman" w:eastAsia="Times New Roman" w:hAnsi="Times New Roman" w:cs="Times New Roman"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lang w:eastAsia="hr-HR"/>
        </w:rPr>
        <w:t>. godine. Samo naplaćeni prihodi u tekućoj godini jesu prihodi te godine.</w:t>
      </w:r>
    </w:p>
    <w:p w14:paraId="6688A973" w14:textId="7F5043FA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 xml:space="preserve">Obveze koje ne budu  podmirene do 31. prosinca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881672">
        <w:rPr>
          <w:rFonts w:ascii="Times New Roman" w:eastAsia="Times New Roman" w:hAnsi="Times New Roman" w:cs="Times New Roman"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lang w:eastAsia="hr-HR"/>
        </w:rPr>
        <w:t>. godine podmirit će se iz namjenskih sredstava Proračuna 202</w:t>
      </w:r>
      <w:r w:rsidR="00881672">
        <w:rPr>
          <w:rFonts w:ascii="Times New Roman" w:eastAsia="Times New Roman" w:hAnsi="Times New Roman" w:cs="Times New Roman"/>
          <w:lang w:eastAsia="hr-HR"/>
        </w:rPr>
        <w:t>5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. godine. Te obveze imaju prioritet u odnosu na nastale obveze u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881672">
        <w:rPr>
          <w:rFonts w:ascii="Times New Roman" w:eastAsia="Times New Roman" w:hAnsi="Times New Roman" w:cs="Times New Roman"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lang w:eastAsia="hr-HR"/>
        </w:rPr>
        <w:t>. godini.</w:t>
      </w:r>
    </w:p>
    <w:p w14:paraId="23D984F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CE7F39" w14:textId="77777777" w:rsidR="00F13401" w:rsidRPr="00133E4F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133E4F">
        <w:rPr>
          <w:rFonts w:ascii="Times New Roman" w:eastAsia="Times New Roman" w:hAnsi="Times New Roman" w:cs="Times New Roman"/>
          <w:b/>
          <w:bCs/>
          <w:lang w:eastAsia="hr-HR"/>
        </w:rPr>
        <w:t>Članak 8.</w:t>
      </w:r>
    </w:p>
    <w:p w14:paraId="30954CBE" w14:textId="4948919D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pojedini proračunski izdaci ne budu mogli izvršavati zbog nedovoljno planiranih rashoda, a na drugim pozicijama pojave se uštede, ovlašćuje se Načelnik da  može vršiti preraspodjelu sredstava između razdjela, s tim da se tom prilikom ne može mijenjati ukupni iznos rashoda utvrđenih Proračunom.</w:t>
      </w:r>
    </w:p>
    <w:p w14:paraId="6AADF47B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 preraspodjeli sredstava izvještava Vijeće u rokovima za podnošenje polugodišnjeg i godišnjeg obračuna Proračuna.</w:t>
      </w:r>
    </w:p>
    <w:p w14:paraId="2E88FC4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424731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9.</w:t>
      </w:r>
    </w:p>
    <w:p w14:paraId="26AE54C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Za planiranje i izvršavanje Proračuna u c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8B709D">
        <w:rPr>
          <w:rFonts w:ascii="Times New Roman" w:eastAsia="Times New Roman" w:hAnsi="Times New Roman" w:cs="Times New Roman"/>
          <w:lang w:eastAsia="hr-HR"/>
        </w:rPr>
        <w:t>jelosti je odgovoran Načelnik. Odgovornost za izvršavanje Proračuna podrazumijeva odgovornost za preuzimanje i verifikaciju obveza, izdavanje naloga za plaćanje na teret proračunskih sredstava,  te za utvrđivanje prava naplate i izdavanje naloga za naplatu u korist proračunskih sredstava.</w:t>
      </w:r>
    </w:p>
    <w:p w14:paraId="08F7FD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C84E6B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10.</w:t>
      </w:r>
    </w:p>
    <w:p w14:paraId="7675C4A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Proračunski korisnik Općine je Vijeće mađarske nacionalne manjine. Vijeće nema svoj žiro račun te  svoje financijske transakcije obavlja putem računa Općine. </w:t>
      </w:r>
    </w:p>
    <w:p w14:paraId="1F07447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prihodi i primici proračunskog korisnika uplaćuju se na IBAN račun Općine, a svi rashodi i izdaci isplaćuju se sa IBAN računa Općine.</w:t>
      </w:r>
    </w:p>
    <w:p w14:paraId="74DB643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Čelnik Vijeća odgovoran je za točnost, vjerodostojnost i zakonsku osnovu knjigovodstvenih isprava kojom se dokazuje obveza plaćanja.</w:t>
      </w:r>
    </w:p>
    <w:p w14:paraId="1FA0BF5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DA38E9" w14:textId="454CBA0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Proračunski korisnik Dječji vrtić „Ogledalce“ poslovanje obavlja putem svojeg žiro-računa. Općina Ernestinovo sudjeluje u radu vrtića financiranjem djela bruto plaće zaposlenika. Ostali rashodi poslovanja financiraju se iz prihoda prikupljenih od sufinanciranja roditelja i Općina sa čijeg područja djeca pohađaju vrtić. Ravnatelj Vrtića odgovoran je za točnost, vjerodostojnost i zakonsku osnovu knjigovodstvenih isprava kojom se dokazuje obveza plaćanja.</w:t>
      </w:r>
    </w:p>
    <w:p w14:paraId="72C6329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8F8CB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163BCB" w14:textId="27D1DF5A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III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PRIHODI PRORAČUNA</w:t>
      </w:r>
    </w:p>
    <w:p w14:paraId="4E00C97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F3EAC3C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11.</w:t>
      </w:r>
    </w:p>
    <w:p w14:paraId="3DA02EE2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se planiraju svi prihodi koje sukladno pozitivnim propisima ostvaruje Općina.</w:t>
      </w:r>
    </w:p>
    <w:p w14:paraId="45336F97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Prihodi što ih tijela općinske uprave ostvare obavljanjem djelatnosti, prihodi su Proračuna i uplaćuju se na račun Proračuna.</w:t>
      </w:r>
    </w:p>
    <w:p w14:paraId="614CC56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Jedinstveni upravni odjel Općine nadzire ostvarenje i trošenje prihoda .</w:t>
      </w:r>
    </w:p>
    <w:p w14:paraId="593CE5B1" w14:textId="77777777" w:rsidR="00F13401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448DC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FF8992" w14:textId="397252B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IV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ISPLATA SREDSTAVA IZ PRORAČUNA</w:t>
      </w:r>
    </w:p>
    <w:p w14:paraId="564D790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2A182D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12.</w:t>
      </w:r>
    </w:p>
    <w:p w14:paraId="57EB00B1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Svaki rashod i izdatak iz Proračuna mora se temeljiti na vjerodostojnoj knjigovodstvenoj ispravi kojom se dokazuje obveza plaćanja.</w:t>
      </w:r>
    </w:p>
    <w:p w14:paraId="6D866DA0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Službenik kojeg za to posebnom odlukom ovlasti Načelnik, mora prije isplate provjeriti i potvrditi potpisom pravni temelj i visinu obveze koja proizlazi iz knjigovodstvene isprave.</w:t>
      </w:r>
    </w:p>
    <w:p w14:paraId="59287F7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AF119D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13.</w:t>
      </w:r>
    </w:p>
    <w:p w14:paraId="17DB8A4B" w14:textId="06E0DAB6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Donacije političkim strankama rasporedit će se po posebnom odlukom Općinskog Vijeća, a doznačivat</w:t>
      </w:r>
      <w:r w:rsidR="00505C87">
        <w:rPr>
          <w:rFonts w:ascii="Times New Roman" w:eastAsia="Times New Roman" w:hAnsi="Times New Roman" w:cs="Times New Roman"/>
          <w:lang w:eastAsia="hr-HR"/>
        </w:rPr>
        <w:t>i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će se tromjesečno.</w:t>
      </w:r>
    </w:p>
    <w:p w14:paraId="5C5528E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0EEE99" w14:textId="71DC1A35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ODGODA PLAĆANJA TE OTPIS POTRAŽIVANJA</w:t>
      </w:r>
    </w:p>
    <w:p w14:paraId="39E444C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52EDD3C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Članak 14.</w:t>
      </w:r>
    </w:p>
    <w:p w14:paraId="3AD98295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može u cijelosti ili djelomično otpisati dug prema Općini ako bi troškovi postupka naplate bili u nerazmjeru s visinom potraživanja odnosno zbog drugog opravdanog razloga.</w:t>
      </w:r>
    </w:p>
    <w:p w14:paraId="45735A2E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odlučuje o otpisu nenaplativih i spornih potraživanja temeljem izvještaja Povjerenstva za popis potraživanja, a sukladno Pravilniku o proračunskom računovodstvu i Računskom planu (Narodne novine  broj 124/14).</w:t>
      </w:r>
    </w:p>
    <w:p w14:paraId="75577E8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9F2AB6" w14:textId="23E65A6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UPRAVLJANJE NEFINANCIJSKOM DUGOTRAJNOM IMOVINOM</w:t>
      </w:r>
    </w:p>
    <w:p w14:paraId="4D365E3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9C90C25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15.</w:t>
      </w:r>
    </w:p>
    <w:p w14:paraId="68CBE33F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Nefinancijskom dugotrajnom imovinom Općine upravlja Načelnik. Upravljanje imovinom podrazumijeva njezino korištenje, održavanje i davanje u  zakup,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B709D">
        <w:rPr>
          <w:rFonts w:ascii="Times New Roman" w:eastAsia="Times New Roman" w:hAnsi="Times New Roman" w:cs="Times New Roman"/>
          <w:lang w:eastAsia="hr-HR"/>
        </w:rPr>
        <w:t>vođenje popisa o toj imovini u skladu sa zakonom.</w:t>
      </w:r>
    </w:p>
    <w:p w14:paraId="70D9CA6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održavanje dugotrajne imovine osiguravaju se u rashodima poslovanja Proračuna.</w:t>
      </w:r>
    </w:p>
    <w:p w14:paraId="6E373F3D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81F561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16.</w:t>
      </w:r>
    </w:p>
    <w:p w14:paraId="40BE9801" w14:textId="767E6A6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Knjigovodstvena evidencija nefinancijske dugotrajne imovine vodi se u Jedinstvenom upravnom odjelu Općine</w:t>
      </w:r>
      <w:r w:rsidR="00505C87">
        <w:rPr>
          <w:rFonts w:ascii="Times New Roman" w:eastAsia="Times New Roman" w:hAnsi="Times New Roman" w:cs="Times New Roman"/>
          <w:lang w:eastAsia="hr-HR"/>
        </w:rPr>
        <w:t xml:space="preserve"> Ernestinovo.</w:t>
      </w:r>
    </w:p>
    <w:p w14:paraId="6ADA41A4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152444" w14:textId="572680F9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VII </w:t>
      </w:r>
      <w:r w:rsidR="00814CC3">
        <w:rPr>
          <w:rFonts w:ascii="Times New Roman" w:eastAsia="Times New Roman" w:hAnsi="Times New Roman" w:cs="Times New Roman"/>
          <w:b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lang w:eastAsia="hr-HR"/>
        </w:rPr>
        <w:t xml:space="preserve"> ZADUŽIVANJA I JAMSTVA</w:t>
      </w:r>
    </w:p>
    <w:p w14:paraId="101D2FEE" w14:textId="77777777" w:rsidR="00F13401" w:rsidRPr="00814CC3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AC46E2A" w14:textId="77777777" w:rsidR="00F13401" w:rsidRPr="00814CC3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14CC3">
        <w:rPr>
          <w:rFonts w:ascii="Times New Roman" w:eastAsia="Times New Roman" w:hAnsi="Times New Roman" w:cs="Times New Roman"/>
          <w:b/>
          <w:bCs/>
          <w:lang w:eastAsia="hr-HR"/>
        </w:rPr>
        <w:t>Članak 17.</w:t>
      </w:r>
    </w:p>
    <w:p w14:paraId="14551B5C" w14:textId="77777777" w:rsidR="00F13401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Općina Ernestinovo se može zadužiti dugoročno za investicije uzimanjem kredita, a koje potvrdi Općinsko Vijeće, uz prethodnu suglasnost Vlade Republike Hrvatske/Ministarstva financija Republike Hrvatske.</w:t>
      </w:r>
    </w:p>
    <w:p w14:paraId="3B5B8264" w14:textId="77777777" w:rsidR="00881672" w:rsidRPr="00881672" w:rsidRDefault="00881672" w:rsidP="00881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81672">
        <w:rPr>
          <w:rFonts w:ascii="Times New Roman" w:eastAsia="Times New Roman" w:hAnsi="Times New Roman" w:cs="Times New Roman"/>
          <w:lang w:eastAsia="hr-HR"/>
        </w:rPr>
        <w:t>Općina Ernestinovo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ili zajmova.</w:t>
      </w:r>
    </w:p>
    <w:p w14:paraId="782F5089" w14:textId="3B688E95" w:rsidR="00881672" w:rsidRPr="008B709D" w:rsidRDefault="00881672" w:rsidP="00881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81672">
        <w:rPr>
          <w:rFonts w:ascii="Times New Roman" w:eastAsia="Times New Roman" w:hAnsi="Times New Roman" w:cs="Times New Roman"/>
          <w:lang w:eastAsia="hr-HR"/>
        </w:rPr>
        <w:t>Za odlučivanje o izdavanju instrumenata osiguranja u iznosu koji je veći od 0,5 % iznosa prihoda bez primitaka ostvarenih u prethodnoj godini nadležno je Općinsko vijeće općine Ernestinovo, a ako je iznos manji od 0,5% iznosa prihoda bez primitaka ostvarenih u prethodnoj godini nadležna je općinska načelnica općine Ernestinovo.</w:t>
      </w:r>
    </w:p>
    <w:p w14:paraId="200758CA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E5F1FB" w14:textId="7B2EB7B4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VIII</w:t>
      </w:r>
      <w:r w:rsidR="00814CC3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ZAVRŠNE ODREDBE</w:t>
      </w:r>
    </w:p>
    <w:p w14:paraId="148117A8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7549F8" w14:textId="77777777" w:rsidR="00F13401" w:rsidRPr="007351D4" w:rsidRDefault="00F13401" w:rsidP="00F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7351D4">
        <w:rPr>
          <w:rFonts w:ascii="Times New Roman" w:eastAsia="Times New Roman" w:hAnsi="Times New Roman" w:cs="Times New Roman"/>
          <w:b/>
          <w:bCs/>
          <w:lang w:eastAsia="hr-HR"/>
        </w:rPr>
        <w:t>Članak 18.</w:t>
      </w:r>
    </w:p>
    <w:p w14:paraId="00E314D9" w14:textId="759809A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Ova Odluka objavit će se u </w:t>
      </w:r>
      <w:r w:rsidR="00505C87">
        <w:rPr>
          <w:rFonts w:ascii="Times New Roman" w:eastAsia="Times New Roman" w:hAnsi="Times New Roman" w:cs="Times New Roman"/>
          <w:lang w:eastAsia="hr-HR"/>
        </w:rPr>
        <w:t>„</w:t>
      </w:r>
      <w:r w:rsidRPr="008B709D">
        <w:rPr>
          <w:rFonts w:ascii="Times New Roman" w:eastAsia="Times New Roman" w:hAnsi="Times New Roman" w:cs="Times New Roman"/>
          <w:lang w:eastAsia="hr-HR"/>
        </w:rPr>
        <w:t>Službenom glasniku</w:t>
      </w:r>
      <w:r w:rsidR="00505C87">
        <w:rPr>
          <w:rFonts w:ascii="Times New Roman" w:eastAsia="Times New Roman" w:hAnsi="Times New Roman" w:cs="Times New Roman"/>
          <w:lang w:eastAsia="hr-HR"/>
        </w:rPr>
        <w:t>“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Općine Ernestinovo,  a stupa na snagu 1. siječnja </w:t>
      </w:r>
      <w:r w:rsidR="00103499">
        <w:rPr>
          <w:rFonts w:ascii="Times New Roman" w:eastAsia="Times New Roman" w:hAnsi="Times New Roman" w:cs="Times New Roman"/>
          <w:lang w:eastAsia="hr-HR"/>
        </w:rPr>
        <w:t>202</w:t>
      </w:r>
      <w:r w:rsidR="00881672">
        <w:rPr>
          <w:rFonts w:ascii="Times New Roman" w:eastAsia="Times New Roman" w:hAnsi="Times New Roman" w:cs="Times New Roman"/>
          <w:lang w:eastAsia="hr-HR"/>
        </w:rPr>
        <w:t>4</w:t>
      </w:r>
      <w:r w:rsidRPr="008B709D">
        <w:rPr>
          <w:rFonts w:ascii="Times New Roman" w:eastAsia="Times New Roman" w:hAnsi="Times New Roman" w:cs="Times New Roman"/>
          <w:lang w:eastAsia="hr-HR"/>
        </w:rPr>
        <w:t>. godine.</w:t>
      </w:r>
    </w:p>
    <w:p w14:paraId="22A36C46" w14:textId="77777777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7D900C" w14:textId="03F68A4F" w:rsidR="00F13401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KLASA:  400-06</w:t>
      </w:r>
      <w:r w:rsidR="00814CC3">
        <w:rPr>
          <w:rFonts w:ascii="Times New Roman" w:eastAsia="Times New Roman" w:hAnsi="Times New Roman" w:cs="Times New Roman"/>
          <w:lang w:eastAsia="hr-HR"/>
        </w:rPr>
        <w:t>/2</w:t>
      </w:r>
      <w:r w:rsidR="00881672">
        <w:rPr>
          <w:rFonts w:ascii="Times New Roman" w:eastAsia="Times New Roman" w:hAnsi="Times New Roman" w:cs="Times New Roman"/>
          <w:lang w:eastAsia="hr-HR"/>
        </w:rPr>
        <w:t>3</w:t>
      </w:r>
      <w:r w:rsidR="00814CC3">
        <w:rPr>
          <w:rFonts w:ascii="Times New Roman" w:eastAsia="Times New Roman" w:hAnsi="Times New Roman" w:cs="Times New Roman"/>
          <w:lang w:eastAsia="hr-HR"/>
        </w:rPr>
        <w:t>-02</w:t>
      </w:r>
      <w:r w:rsidR="00881672">
        <w:rPr>
          <w:rFonts w:ascii="Times New Roman" w:eastAsia="Times New Roman" w:hAnsi="Times New Roman" w:cs="Times New Roman"/>
          <w:lang w:eastAsia="hr-HR"/>
        </w:rPr>
        <w:t>/3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</w:t>
      </w:r>
    </w:p>
    <w:p w14:paraId="5938F4AC" w14:textId="4CDE0FEE" w:rsidR="00814CC3" w:rsidRPr="008B709D" w:rsidRDefault="00F13401" w:rsidP="00F13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</w:t>
      </w:r>
      <w:r w:rsidR="00814CC3">
        <w:rPr>
          <w:rFonts w:ascii="Times New Roman" w:eastAsia="Times New Roman" w:hAnsi="Times New Roman" w:cs="Times New Roman"/>
          <w:lang w:eastAsia="hr-HR"/>
        </w:rPr>
        <w:t>-19-01-2</w:t>
      </w:r>
      <w:r w:rsidR="00881672">
        <w:rPr>
          <w:rFonts w:ascii="Times New Roman" w:eastAsia="Times New Roman" w:hAnsi="Times New Roman" w:cs="Times New Roman"/>
          <w:lang w:eastAsia="hr-HR"/>
        </w:rPr>
        <w:t>3</w:t>
      </w:r>
      <w:r w:rsidR="00814CC3">
        <w:rPr>
          <w:rFonts w:ascii="Times New Roman" w:eastAsia="Times New Roman" w:hAnsi="Times New Roman" w:cs="Times New Roman"/>
          <w:lang w:eastAsia="hr-HR"/>
        </w:rPr>
        <w:t>-</w:t>
      </w:r>
      <w:r w:rsidR="00881672">
        <w:rPr>
          <w:rFonts w:ascii="Times New Roman" w:eastAsia="Times New Roman" w:hAnsi="Times New Roman" w:cs="Times New Roman"/>
          <w:lang w:eastAsia="hr-HR"/>
        </w:rPr>
        <w:t>1</w:t>
      </w:r>
    </w:p>
    <w:p w14:paraId="61C724D9" w14:textId="7C059EDE" w:rsidR="00814CC3" w:rsidRDefault="00F13401" w:rsidP="00F13401">
      <w:pPr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</w:t>
      </w:r>
      <w:r w:rsidR="009E40E6">
        <w:rPr>
          <w:rFonts w:ascii="Times New Roman" w:eastAsia="Times New Roman" w:hAnsi="Times New Roman" w:cs="Times New Roman"/>
          <w:lang w:eastAsia="hr-HR"/>
        </w:rPr>
        <w:t>27</w:t>
      </w:r>
      <w:r w:rsidR="0085026E">
        <w:rPr>
          <w:rFonts w:ascii="Times New Roman" w:eastAsia="Times New Roman" w:hAnsi="Times New Roman" w:cs="Times New Roman"/>
          <w:lang w:eastAsia="hr-HR"/>
        </w:rPr>
        <w:t>.</w:t>
      </w:r>
      <w:r w:rsidR="00881672">
        <w:rPr>
          <w:rFonts w:ascii="Times New Roman" w:eastAsia="Times New Roman" w:hAnsi="Times New Roman" w:cs="Times New Roman"/>
          <w:lang w:eastAsia="hr-HR"/>
        </w:rPr>
        <w:t xml:space="preserve"> studenog</w:t>
      </w:r>
      <w:r w:rsidR="0085026E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881672">
        <w:rPr>
          <w:rFonts w:ascii="Times New Roman" w:eastAsia="Times New Roman" w:hAnsi="Times New Roman" w:cs="Times New Roman"/>
          <w:lang w:eastAsia="hr-HR"/>
        </w:rPr>
        <w:t>3</w:t>
      </w:r>
      <w:r w:rsidR="0085026E">
        <w:rPr>
          <w:rFonts w:ascii="Times New Roman" w:eastAsia="Times New Roman" w:hAnsi="Times New Roman" w:cs="Times New Roman"/>
          <w:lang w:eastAsia="hr-HR"/>
        </w:rPr>
        <w:t>.</w:t>
      </w:r>
      <w:r w:rsidRPr="008B709D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  </w:t>
      </w:r>
    </w:p>
    <w:p w14:paraId="28EBE4EA" w14:textId="77777777" w:rsidR="009E40E6" w:rsidRDefault="009E40E6" w:rsidP="009E40E6">
      <w:pPr>
        <w:tabs>
          <w:tab w:val="left" w:pos="6660"/>
        </w:tabs>
        <w:spacing w:after="0"/>
        <w:ind w:left="354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550D6CA" w14:textId="77777777" w:rsidR="00C12EE7" w:rsidRDefault="00814CC3" w:rsidP="00C12EE7">
      <w:pPr>
        <w:tabs>
          <w:tab w:val="left" w:pos="6660"/>
        </w:tabs>
        <w:spacing w:after="0"/>
        <w:ind w:left="354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22564641" w14:textId="3DB3CCDD" w:rsidR="00814CC3" w:rsidRDefault="00814CC3" w:rsidP="00C12EE7">
      <w:pPr>
        <w:tabs>
          <w:tab w:val="left" w:pos="6660"/>
        </w:tabs>
        <w:spacing w:after="0"/>
        <w:ind w:left="354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Krunoslav Dragičević</w:t>
      </w:r>
      <w:r w:rsidR="00C12EE7">
        <w:rPr>
          <w:rFonts w:ascii="Times New Roman" w:eastAsia="Times New Roman" w:hAnsi="Times New Roman" w:cs="Times New Roman"/>
          <w:lang w:eastAsia="hr-HR"/>
        </w:rPr>
        <w:t>, v.r.</w:t>
      </w:r>
    </w:p>
    <w:p w14:paraId="03FD01D5" w14:textId="77777777" w:rsidR="00F7654F" w:rsidRDefault="00F7654F" w:rsidP="009E40E6"/>
    <w:sectPr w:rsidR="00F7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E9C9" w14:textId="77777777" w:rsidR="001D498B" w:rsidRDefault="001D498B" w:rsidP="007351D4">
      <w:pPr>
        <w:spacing w:after="0" w:line="240" w:lineRule="auto"/>
      </w:pPr>
      <w:r>
        <w:separator/>
      </w:r>
    </w:p>
  </w:endnote>
  <w:endnote w:type="continuationSeparator" w:id="0">
    <w:p w14:paraId="589A0338" w14:textId="77777777" w:rsidR="001D498B" w:rsidRDefault="001D498B" w:rsidP="0073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66C4" w14:textId="77777777" w:rsidR="001D498B" w:rsidRDefault="001D498B" w:rsidP="007351D4">
      <w:pPr>
        <w:spacing w:after="0" w:line="240" w:lineRule="auto"/>
      </w:pPr>
      <w:r>
        <w:separator/>
      </w:r>
    </w:p>
  </w:footnote>
  <w:footnote w:type="continuationSeparator" w:id="0">
    <w:p w14:paraId="7FE10997" w14:textId="77777777" w:rsidR="001D498B" w:rsidRDefault="001D498B" w:rsidP="0073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4"/>
    <w:rsid w:val="00103499"/>
    <w:rsid w:val="00133E4F"/>
    <w:rsid w:val="001D498B"/>
    <w:rsid w:val="002B4BF1"/>
    <w:rsid w:val="003046AE"/>
    <w:rsid w:val="00341E6D"/>
    <w:rsid w:val="003B4624"/>
    <w:rsid w:val="0044122B"/>
    <w:rsid w:val="004E242E"/>
    <w:rsid w:val="00505C87"/>
    <w:rsid w:val="006928FD"/>
    <w:rsid w:val="007064DA"/>
    <w:rsid w:val="007351D4"/>
    <w:rsid w:val="00814CC3"/>
    <w:rsid w:val="0085026E"/>
    <w:rsid w:val="00881672"/>
    <w:rsid w:val="008C3D12"/>
    <w:rsid w:val="00910695"/>
    <w:rsid w:val="009E40E6"/>
    <w:rsid w:val="00B44CEB"/>
    <w:rsid w:val="00C12EE7"/>
    <w:rsid w:val="00EE15D4"/>
    <w:rsid w:val="00F13401"/>
    <w:rsid w:val="00F7654F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7D91"/>
  <w15:chartTrackingRefBased/>
  <w15:docId w15:val="{D517B4BD-6B03-4C17-B85B-380BD48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1D4"/>
  </w:style>
  <w:style w:type="paragraph" w:styleId="Podnoje">
    <w:name w:val="footer"/>
    <w:basedOn w:val="Normal"/>
    <w:link w:val="PodnojeChar"/>
    <w:uiPriority w:val="99"/>
    <w:unhideWhenUsed/>
    <w:rsid w:val="0073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Ivana Švast</cp:lastModifiedBy>
  <cp:revision>5</cp:revision>
  <cp:lastPrinted>2023-11-28T08:45:00Z</cp:lastPrinted>
  <dcterms:created xsi:type="dcterms:W3CDTF">2023-11-14T11:07:00Z</dcterms:created>
  <dcterms:modified xsi:type="dcterms:W3CDTF">2023-11-28T08:45:00Z</dcterms:modified>
</cp:coreProperties>
</file>