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482F" w14:textId="76636BF3" w:rsidR="007351D4" w:rsidRPr="007351D4" w:rsidRDefault="007351D4" w:rsidP="007351D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351D4">
        <w:rPr>
          <w:rFonts w:ascii="Times New Roman" w:eastAsia="Times New Roman" w:hAnsi="Times New Roman" w:cs="Times New Roman"/>
          <w:lang w:eastAsia="hr-HR"/>
        </w:rPr>
        <w:t>Na temelju članka</w:t>
      </w:r>
      <w:r>
        <w:rPr>
          <w:rFonts w:ascii="Times New Roman" w:eastAsia="Times New Roman" w:hAnsi="Times New Roman" w:cs="Times New Roman"/>
          <w:lang w:eastAsia="hr-HR"/>
        </w:rPr>
        <w:t xml:space="preserve"> 18. Zakona o proračunu („Narodne novine“, br. 144/21) i članka 30. Statuta Općine Ernestinovo(„</w:t>
      </w:r>
      <w:r w:rsidR="00505C87">
        <w:rPr>
          <w:rFonts w:ascii="Times New Roman" w:eastAsia="Times New Roman" w:hAnsi="Times New Roman" w:cs="Times New Roman"/>
          <w:lang w:eastAsia="hr-HR"/>
        </w:rPr>
        <w:t xml:space="preserve">Službeni glasnik“ Općine Ernestinovo, </w:t>
      </w:r>
      <w:r>
        <w:rPr>
          <w:rFonts w:ascii="Times New Roman" w:eastAsia="Times New Roman" w:hAnsi="Times New Roman" w:cs="Times New Roman"/>
          <w:lang w:eastAsia="hr-HR"/>
        </w:rPr>
        <w:t xml:space="preserve"> br. 2/21 i 3/21), Općinsko vijeće Općine Ernestinovo, na svojoj</w:t>
      </w:r>
      <w:r w:rsidR="0085026E">
        <w:rPr>
          <w:rFonts w:ascii="Times New Roman" w:eastAsia="Times New Roman" w:hAnsi="Times New Roman" w:cs="Times New Roman"/>
          <w:lang w:eastAsia="hr-HR"/>
        </w:rPr>
        <w:t xml:space="preserve"> 18.sjednici, održanoj dana 21.prosinca 2022.godine, donijelo je </w:t>
      </w:r>
    </w:p>
    <w:p w14:paraId="58A09095" w14:textId="77777777" w:rsidR="007351D4" w:rsidRDefault="007351D4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4DFFF22" w14:textId="47671515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O D L U K U</w:t>
      </w:r>
    </w:p>
    <w:p w14:paraId="604B8F1F" w14:textId="77777777" w:rsidR="00F13401" w:rsidRPr="008B709D" w:rsidRDefault="00F13401" w:rsidP="00F134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 xml:space="preserve">o izvršenju Proračuna Općine Ernestinovo </w:t>
      </w:r>
    </w:p>
    <w:p w14:paraId="4DBE74F3" w14:textId="05316767" w:rsidR="00F13401" w:rsidRPr="008B709D" w:rsidRDefault="00F13401" w:rsidP="00F1340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 xml:space="preserve">   za 202</w:t>
      </w:r>
      <w:r w:rsidR="00103499">
        <w:rPr>
          <w:rFonts w:ascii="Times New Roman" w:eastAsia="Times New Roman" w:hAnsi="Times New Roman" w:cs="Times New Roman"/>
          <w:b/>
          <w:bCs/>
          <w:lang w:eastAsia="hr-HR"/>
        </w:rPr>
        <w:t>3</w:t>
      </w: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. godinu</w:t>
      </w:r>
    </w:p>
    <w:p w14:paraId="1E995C35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C730D21" w14:textId="23F9A14B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I</w:t>
      </w:r>
      <w:r w:rsidR="00133E4F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 xml:space="preserve"> OPĆE ODREDBE</w:t>
      </w:r>
    </w:p>
    <w:p w14:paraId="64CBADD0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4D7E418" w14:textId="77777777" w:rsidR="00F13401" w:rsidRPr="00133E4F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t>Članak 1.</w:t>
      </w:r>
    </w:p>
    <w:p w14:paraId="2144A69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Ovom Odlukom uređuje se struktura prihoda i primitaka te rashoda i izdataka Proračuna i njegovo izvršavanje, opseg zaduživanja, upravljanje financijskom i nefinancijskom imovinom, prava i obveze proračunskih korisnika, pojedine ovlasti načelnika u izvršavanju proračuna.</w:t>
      </w:r>
    </w:p>
    <w:p w14:paraId="61B79AC3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BB9159C" w14:textId="77777777" w:rsidR="00F13401" w:rsidRPr="00133E4F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t>Članak 2.</w:t>
      </w:r>
    </w:p>
    <w:p w14:paraId="30892AC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Proračun se sastoji od Općeg i Posebnog dijela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193B10D4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Opći dio Proračuna sadrži: Račun prihoda i rashoda  i račun financiranja.</w:t>
      </w:r>
    </w:p>
    <w:p w14:paraId="0A01442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 Računu prihoda i rashoda iskazani su prihodi poslovanja i prihodi od prodaje nefinancijske imovine, te rashodi poslovanja i rashodi za nabavu nefinancijske imovine.</w:t>
      </w:r>
    </w:p>
    <w:p w14:paraId="6DA022F2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Posebni dio Proračuna sastoji se od plana rashoda i izdataka proračunskih korisnika iskazanih po vrstama, raspoređenih u programe koji se sastoje od aktivnosti i projekata.</w:t>
      </w:r>
    </w:p>
    <w:p w14:paraId="33698025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165EA5F" w14:textId="77777777" w:rsidR="00F13401" w:rsidRPr="00133E4F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t>Članak 3.</w:t>
      </w:r>
    </w:p>
    <w:p w14:paraId="5C87DB1E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Sredstva za rashode i izdatke korisnika Proračuna osiguravaju se proračunskim korisnicima koji su u njegovu Posebnom dijelu određeni za nositelje sredstava.</w:t>
      </w:r>
    </w:p>
    <w:p w14:paraId="62EE039C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00D5F39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C0AE897" w14:textId="3AAD7DC2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II</w:t>
      </w:r>
      <w:r w:rsidR="00133E4F">
        <w:rPr>
          <w:rFonts w:ascii="Times New Roman" w:eastAsia="Times New Roman" w:hAnsi="Times New Roman" w:cs="Times New Roman"/>
          <w:b/>
          <w:lang w:eastAsia="hr-HR"/>
        </w:rPr>
        <w:t>.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 IZVRŠAVANJE PRORAČUNA</w:t>
      </w:r>
    </w:p>
    <w:p w14:paraId="4989F5B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CA48044" w14:textId="77777777" w:rsidR="00F13401" w:rsidRPr="00133E4F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t>Članak 4.</w:t>
      </w:r>
    </w:p>
    <w:p w14:paraId="7CB0732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Proračunska sredstva koriste se samo za namjene koje su određene Proračunom i to do visine utvrđene u njegovom posebnom dijelu.</w:t>
      </w:r>
    </w:p>
    <w:p w14:paraId="183ECA4F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Rashodi i izdaci Proračuna koji se financiraju iz namjenskih prihoda i primitaka izvršavat će se do iznosa naplaćenih prihoda i primitaka za te namjene.</w:t>
      </w:r>
    </w:p>
    <w:p w14:paraId="3BE3E715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Iznimno od odredbe stavka 2. ovog članka, Načelnik može odlučiti da se pojedini rashodi i izdaci pokrivaju i na teret ostalih proračunskih prihoda, a najviše do visine planiranih iznosa.</w:t>
      </w:r>
    </w:p>
    <w:p w14:paraId="3124D4D1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Namjenski prihodi i primici koji ne budu iskorišteni u ovoj proračunskoj godini prenose se u narednu proračunsku godinu.</w:t>
      </w:r>
    </w:p>
    <w:p w14:paraId="6D0514A3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Sredstva za aktivnosti i projekte koja se izvršavaju kao subvencije, donacije i pomoći pojedinom korisniku, raspoređuje Načelnik ako krajnji korisnik nije utvrđen u Posebnom dijelu Proračuna, programu javnih potreba ili drugom aktu Općinskog vijeća.</w:t>
      </w:r>
    </w:p>
    <w:p w14:paraId="76F5B2B0" w14:textId="77777777" w:rsidR="00F13401" w:rsidRPr="008B709D" w:rsidRDefault="00F13401" w:rsidP="00F13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</w:t>
      </w:r>
    </w:p>
    <w:p w14:paraId="4AD50558" w14:textId="77777777" w:rsidR="00F13401" w:rsidRPr="00133E4F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t>Članak 5.</w:t>
      </w:r>
    </w:p>
    <w:p w14:paraId="12DA7E03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Ukoliko se prihodi Proračuna ne naplaćuju u planiranim svotama i planiranoj dinamici tijekom godine,  prvo se podmiruju izdaci za redovitu djelatnost Jedinstvenog upravnog odijela i Komunalnog pogona.</w:t>
      </w:r>
    </w:p>
    <w:p w14:paraId="6320EB37" w14:textId="77777777" w:rsidR="00F13401" w:rsidRPr="008B709D" w:rsidRDefault="00F13401" w:rsidP="00F1340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A94F193" w14:textId="77777777" w:rsidR="007351D4" w:rsidRDefault="007351D4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3ECEF09" w14:textId="77777777" w:rsidR="007351D4" w:rsidRDefault="007351D4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EBEC0E7" w14:textId="77777777" w:rsidR="007351D4" w:rsidRDefault="007351D4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E1B44B5" w14:textId="77777777" w:rsidR="007351D4" w:rsidRDefault="007351D4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BB969AC" w14:textId="77777777" w:rsidR="007351D4" w:rsidRDefault="007351D4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ECE0002" w14:textId="77777777" w:rsidR="007351D4" w:rsidRDefault="007351D4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09A52F0" w14:textId="77777777" w:rsidR="007351D4" w:rsidRDefault="007351D4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E0EA989" w14:textId="77777777" w:rsidR="007351D4" w:rsidRDefault="007351D4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0EC8AAE" w14:textId="0B6C8A9F" w:rsidR="00F13401" w:rsidRPr="00133E4F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Članak 6.</w:t>
      </w:r>
    </w:p>
    <w:p w14:paraId="0AC87ECA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Sredstva se koriste za utvrđene namjene štedljivo i u skladu s propisima o korištenju odnosno raspolaganju tim sredstvima. Nadzor nad korištenjem Proračunskih sredstava obavlja se u skladu sa Zakonom o Proračunu.</w:t>
      </w:r>
    </w:p>
    <w:p w14:paraId="48B4AEF0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AE4CCBB" w14:textId="77777777" w:rsidR="00133E4F" w:rsidRDefault="00133E4F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6A7FB13" w14:textId="2CBE4834" w:rsidR="00F13401" w:rsidRPr="00133E4F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t>Članak 7.</w:t>
      </w:r>
    </w:p>
    <w:p w14:paraId="194AD2E0" w14:textId="498C43DE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Godišnji proračun izvršava se do 31. prosinca </w:t>
      </w:r>
      <w:r w:rsidR="00103499">
        <w:rPr>
          <w:rFonts w:ascii="Times New Roman" w:eastAsia="Times New Roman" w:hAnsi="Times New Roman" w:cs="Times New Roman"/>
          <w:lang w:eastAsia="hr-HR"/>
        </w:rPr>
        <w:t>2023</w:t>
      </w:r>
      <w:r w:rsidRPr="008B709D">
        <w:rPr>
          <w:rFonts w:ascii="Times New Roman" w:eastAsia="Times New Roman" w:hAnsi="Times New Roman" w:cs="Times New Roman"/>
          <w:lang w:eastAsia="hr-HR"/>
        </w:rPr>
        <w:t>. godine. Samo naplaćeni prihodi u tekućoj godini jesu prihodi te godine.</w:t>
      </w:r>
    </w:p>
    <w:p w14:paraId="6688A973" w14:textId="45245AB3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Obveze koje ne budu  podmirene do 31. prosinca </w:t>
      </w:r>
      <w:r w:rsidR="00103499">
        <w:rPr>
          <w:rFonts w:ascii="Times New Roman" w:eastAsia="Times New Roman" w:hAnsi="Times New Roman" w:cs="Times New Roman"/>
          <w:lang w:eastAsia="hr-HR"/>
        </w:rPr>
        <w:t>2023</w:t>
      </w:r>
      <w:r w:rsidRPr="008B709D">
        <w:rPr>
          <w:rFonts w:ascii="Times New Roman" w:eastAsia="Times New Roman" w:hAnsi="Times New Roman" w:cs="Times New Roman"/>
          <w:lang w:eastAsia="hr-HR"/>
        </w:rPr>
        <w:t>. godine podmirit će se iz namjenskih sredstava Proračuna 202</w:t>
      </w:r>
      <w:r w:rsidR="00133E4F">
        <w:rPr>
          <w:rFonts w:ascii="Times New Roman" w:eastAsia="Times New Roman" w:hAnsi="Times New Roman" w:cs="Times New Roman"/>
          <w:lang w:eastAsia="hr-HR"/>
        </w:rPr>
        <w:t>4</w:t>
      </w:r>
      <w:r w:rsidRPr="008B709D">
        <w:rPr>
          <w:rFonts w:ascii="Times New Roman" w:eastAsia="Times New Roman" w:hAnsi="Times New Roman" w:cs="Times New Roman"/>
          <w:lang w:eastAsia="hr-HR"/>
        </w:rPr>
        <w:t xml:space="preserve">. godine. Te obveze imaju prioritet u odnosu na nastale obveze u </w:t>
      </w:r>
      <w:r w:rsidR="00103499">
        <w:rPr>
          <w:rFonts w:ascii="Times New Roman" w:eastAsia="Times New Roman" w:hAnsi="Times New Roman" w:cs="Times New Roman"/>
          <w:lang w:eastAsia="hr-HR"/>
        </w:rPr>
        <w:t>2023</w:t>
      </w:r>
      <w:r w:rsidRPr="008B709D">
        <w:rPr>
          <w:rFonts w:ascii="Times New Roman" w:eastAsia="Times New Roman" w:hAnsi="Times New Roman" w:cs="Times New Roman"/>
          <w:lang w:eastAsia="hr-HR"/>
        </w:rPr>
        <w:t>. godini.</w:t>
      </w:r>
    </w:p>
    <w:p w14:paraId="23D984F5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ACE7F39" w14:textId="77777777" w:rsidR="00F13401" w:rsidRPr="00133E4F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t>Članak 8.</w:t>
      </w:r>
    </w:p>
    <w:p w14:paraId="30954CBE" w14:textId="4948919D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Ukoliko se pojedini proračunski izdaci ne budu mogli izvršavati zbog nedovoljno planiranih rashoda, a na drugim pozicijama pojave se uštede, ovlašćuje se Načelnik da  može vršiti preraspodjelu sredstava između razdjela, s tim da se tom prilikom ne može mijenjati ukupni iznos rashoda utvrđenih Proračunom.</w:t>
      </w:r>
    </w:p>
    <w:p w14:paraId="6AADF47B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Načelnik o preraspodjeli sredstava izvještava Vijeće u rokovima za podnošenje polugodišnjeg i godišnjeg obračuna Proračuna.</w:t>
      </w:r>
    </w:p>
    <w:p w14:paraId="2E88FC42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8424731" w14:textId="77777777" w:rsidR="00F13401" w:rsidRPr="00814CC3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14CC3">
        <w:rPr>
          <w:rFonts w:ascii="Times New Roman" w:eastAsia="Times New Roman" w:hAnsi="Times New Roman" w:cs="Times New Roman"/>
          <w:b/>
          <w:bCs/>
          <w:lang w:eastAsia="hr-HR"/>
        </w:rPr>
        <w:t>Članak 9.</w:t>
      </w:r>
    </w:p>
    <w:p w14:paraId="26AE54CD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Za planiranje i izvršavanje Proračuna u c</w:t>
      </w:r>
      <w:r>
        <w:rPr>
          <w:rFonts w:ascii="Times New Roman" w:eastAsia="Times New Roman" w:hAnsi="Times New Roman" w:cs="Times New Roman"/>
          <w:lang w:eastAsia="hr-HR"/>
        </w:rPr>
        <w:t>i</w:t>
      </w:r>
      <w:r w:rsidRPr="008B709D">
        <w:rPr>
          <w:rFonts w:ascii="Times New Roman" w:eastAsia="Times New Roman" w:hAnsi="Times New Roman" w:cs="Times New Roman"/>
          <w:lang w:eastAsia="hr-HR"/>
        </w:rPr>
        <w:t>jelosti je odgovoran Načelnik. Odgovornost za izvršavanje Proračuna podrazumijeva odgovornost za preuzimanje i verifikaciju obveza, izdavanje naloga za plaćanje na teret proračunskih sredstava,  te za utvrđivanje prava naplate i izdavanje naloga za naplatu u korist proračunskih sredstava.</w:t>
      </w:r>
    </w:p>
    <w:p w14:paraId="08F7FD97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CC84E6B" w14:textId="77777777" w:rsidR="00F13401" w:rsidRPr="00814CC3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14CC3">
        <w:rPr>
          <w:rFonts w:ascii="Times New Roman" w:eastAsia="Times New Roman" w:hAnsi="Times New Roman" w:cs="Times New Roman"/>
          <w:b/>
          <w:bCs/>
          <w:lang w:eastAsia="hr-HR"/>
        </w:rPr>
        <w:t>Članak 10.</w:t>
      </w:r>
    </w:p>
    <w:p w14:paraId="7675C4AE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Proračunski korisnik Općine je Vijeće mađarske nacionalne manjine. Vijeće nema svoj žiro račun te  svoje financijske transakcije obavlja putem računa Općine. </w:t>
      </w:r>
    </w:p>
    <w:p w14:paraId="1F07447E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Svi prihodi i primici proračunskog korisnika uplaćuju se na IBAN račun Općine, a svi rashodi i izdaci isplaćuju se sa IBAN računa Općine.</w:t>
      </w:r>
    </w:p>
    <w:p w14:paraId="74DB643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Čelnik Vijeća odgovoran je za točnost, vjerodostojnost i zakonsku osnovu knjigovodstvenih isprava kojom se dokazuje obveza plaćanja.</w:t>
      </w:r>
    </w:p>
    <w:p w14:paraId="1FA0BF5E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4DA38E9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Proračunski korisnik Dječji vrtić „Ogledalce“ poslovanje obavlja putem svojeg žiro-računa. Općina Ernestinovo sudjeluje u radu vrtića financiranjem djela bruto plaće zaposlenika. Ostali rashodi poslovanja financiraju se iz prihoda prikupljenih od sufinanciranja roditelja i Općina  sa čijeg područja djeca pohađaju vrtić. Ravnatelj Vrtića odgovoran je za točnost, vjerodostojnost i zakonsku osnovu knjigovodstvenih isprava kojom se dokazuje obveza plaćanja.</w:t>
      </w:r>
    </w:p>
    <w:p w14:paraId="72C6329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88F8CB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6163BCB" w14:textId="27D1DF5A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III</w:t>
      </w:r>
      <w:r w:rsidR="00814CC3">
        <w:rPr>
          <w:rFonts w:ascii="Times New Roman" w:eastAsia="Times New Roman" w:hAnsi="Times New Roman" w:cs="Times New Roman"/>
          <w:b/>
          <w:lang w:eastAsia="hr-HR"/>
        </w:rPr>
        <w:t>.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 PRIHODI PRORAČUNA</w:t>
      </w:r>
    </w:p>
    <w:p w14:paraId="4E00C97D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F3EAC3C" w14:textId="77777777" w:rsidR="00F13401" w:rsidRPr="00814CC3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14CC3">
        <w:rPr>
          <w:rFonts w:ascii="Times New Roman" w:eastAsia="Times New Roman" w:hAnsi="Times New Roman" w:cs="Times New Roman"/>
          <w:b/>
          <w:bCs/>
          <w:lang w:eastAsia="hr-HR"/>
        </w:rPr>
        <w:t>Članak 11.</w:t>
      </w:r>
    </w:p>
    <w:p w14:paraId="3DA02EE2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 Proračunu se planiraju svi prihodi koje sukladno pozitivnim propisima ostvaruje Općina.</w:t>
      </w:r>
    </w:p>
    <w:p w14:paraId="45336F97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Prihodi što ih tijela općinske uprave ostvare obavljanjem djelatnosti, prihodi su Proračuna i uplaćuju se na račun Proračuna.</w:t>
      </w:r>
    </w:p>
    <w:p w14:paraId="614CC560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Jedinstveni upravni odjel Općine nadzire ostvarenje i trošenje prihoda .</w:t>
      </w:r>
    </w:p>
    <w:p w14:paraId="593CE5B1" w14:textId="77777777" w:rsidR="00F13401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0448DC5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FF8992" w14:textId="397252B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IV</w:t>
      </w:r>
      <w:r w:rsidR="00814CC3">
        <w:rPr>
          <w:rFonts w:ascii="Times New Roman" w:eastAsia="Times New Roman" w:hAnsi="Times New Roman" w:cs="Times New Roman"/>
          <w:b/>
          <w:lang w:eastAsia="hr-HR"/>
        </w:rPr>
        <w:t>.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 ISPLATA SREDSTAVA IZ PRORAČUNA</w:t>
      </w:r>
    </w:p>
    <w:p w14:paraId="564D790F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52A182D" w14:textId="77777777" w:rsidR="00F13401" w:rsidRPr="00814CC3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14CC3">
        <w:rPr>
          <w:rFonts w:ascii="Times New Roman" w:eastAsia="Times New Roman" w:hAnsi="Times New Roman" w:cs="Times New Roman"/>
          <w:b/>
          <w:bCs/>
          <w:lang w:eastAsia="hr-HR"/>
        </w:rPr>
        <w:t>Članak 12.</w:t>
      </w:r>
    </w:p>
    <w:p w14:paraId="57EB00B1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Svaki rashod i izdatak iz Proračuna mora se temeljiti na vjerodostojnoj knjigovodstvenoj ispravi kojom se dokazuje obveza plaćanja.</w:t>
      </w:r>
    </w:p>
    <w:p w14:paraId="6D866DA0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lastRenderedPageBreak/>
        <w:t>Službenik kojeg za to posebnom odlukom ovlasti Načelnik, mora prije isplate provjeriti i potvrditi potpisom pravni temelj i visinu obveze koja proizlazi iz knjigovodstvene isprave.</w:t>
      </w:r>
    </w:p>
    <w:p w14:paraId="59287F7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1AF119D" w14:textId="77777777" w:rsidR="00F13401" w:rsidRPr="00814CC3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14CC3">
        <w:rPr>
          <w:rFonts w:ascii="Times New Roman" w:eastAsia="Times New Roman" w:hAnsi="Times New Roman" w:cs="Times New Roman"/>
          <w:b/>
          <w:bCs/>
          <w:lang w:eastAsia="hr-HR"/>
        </w:rPr>
        <w:t>Članak 13.</w:t>
      </w:r>
    </w:p>
    <w:p w14:paraId="17DB8A4B" w14:textId="06E0DAB6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Donacije političkim strankama rasporedit će se po posebnom odlukom Općinskog Vijeća, a doznačivat</w:t>
      </w:r>
      <w:r w:rsidR="00505C87">
        <w:rPr>
          <w:rFonts w:ascii="Times New Roman" w:eastAsia="Times New Roman" w:hAnsi="Times New Roman" w:cs="Times New Roman"/>
          <w:lang w:eastAsia="hr-HR"/>
        </w:rPr>
        <w:t>i</w:t>
      </w:r>
      <w:r w:rsidRPr="008B709D">
        <w:rPr>
          <w:rFonts w:ascii="Times New Roman" w:eastAsia="Times New Roman" w:hAnsi="Times New Roman" w:cs="Times New Roman"/>
          <w:lang w:eastAsia="hr-HR"/>
        </w:rPr>
        <w:t xml:space="preserve"> će se tromjesečno.</w:t>
      </w:r>
    </w:p>
    <w:p w14:paraId="5C5528E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A0EEE99" w14:textId="71DC1A35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V</w:t>
      </w:r>
      <w:r w:rsidR="00814CC3">
        <w:rPr>
          <w:rFonts w:ascii="Times New Roman" w:eastAsia="Times New Roman" w:hAnsi="Times New Roman" w:cs="Times New Roman"/>
          <w:b/>
          <w:lang w:eastAsia="hr-HR"/>
        </w:rPr>
        <w:t>.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 ODGODA PLAĆANJA TE OTPIS POTRAŽIVANJA</w:t>
      </w:r>
    </w:p>
    <w:p w14:paraId="39E444C4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52EDD3C" w14:textId="77777777" w:rsidR="00F13401" w:rsidRPr="00814CC3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14CC3">
        <w:rPr>
          <w:rFonts w:ascii="Times New Roman" w:eastAsia="Times New Roman" w:hAnsi="Times New Roman" w:cs="Times New Roman"/>
          <w:b/>
          <w:bCs/>
          <w:lang w:eastAsia="hr-HR"/>
        </w:rPr>
        <w:t>Članak 14.</w:t>
      </w:r>
    </w:p>
    <w:p w14:paraId="3AD98295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Načelnik može u cijelosti ili djelomično otpisati dug prema Općini ako bi troškovi postupka naplate bili u nerazmjeru s visinom potraživanja odnosno zbog drugog opravdanog razloga.</w:t>
      </w:r>
    </w:p>
    <w:p w14:paraId="45735A2E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Načelnik odlučuje o otpisu nenaplativih i spornih potraživanja temeljem izvještaja Povjerenstva za popis potraživanja, a sukladno Pravilniku o proračunskom računovodstvu i Računskom planu (Narodne novine  broj 124/14).</w:t>
      </w:r>
    </w:p>
    <w:p w14:paraId="75577E8F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89F2AB6" w14:textId="23E65A64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VI</w:t>
      </w:r>
      <w:r w:rsidR="00814CC3">
        <w:rPr>
          <w:rFonts w:ascii="Times New Roman" w:eastAsia="Times New Roman" w:hAnsi="Times New Roman" w:cs="Times New Roman"/>
          <w:b/>
          <w:lang w:eastAsia="hr-HR"/>
        </w:rPr>
        <w:t>.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 UPRAVLJANJE NEFINANCIJSKOM DUGOTRAJNOM IMOVINOM</w:t>
      </w:r>
    </w:p>
    <w:p w14:paraId="4D365E3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39C90C25" w14:textId="77777777" w:rsidR="00F13401" w:rsidRPr="00814CC3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14CC3">
        <w:rPr>
          <w:rFonts w:ascii="Times New Roman" w:eastAsia="Times New Roman" w:hAnsi="Times New Roman" w:cs="Times New Roman"/>
          <w:b/>
          <w:bCs/>
          <w:lang w:eastAsia="hr-HR"/>
        </w:rPr>
        <w:t>Članak 15.</w:t>
      </w:r>
    </w:p>
    <w:p w14:paraId="68CBE33F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Nefinancijskom dugotrajnom imovinom Općine upravlja Načelnik. Upravljanje imovinom podrazumijeva njezino korištenje, održavanje i davanje u  zakup,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B709D">
        <w:rPr>
          <w:rFonts w:ascii="Times New Roman" w:eastAsia="Times New Roman" w:hAnsi="Times New Roman" w:cs="Times New Roman"/>
          <w:lang w:eastAsia="hr-HR"/>
        </w:rPr>
        <w:t>vođenje popisa o toj imovini u skladu sa zakonom.</w:t>
      </w:r>
    </w:p>
    <w:p w14:paraId="70D9CA6A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Sredstva za održavanje dugotrajne imovine osiguravaju se u rashodima poslovanja Proračuna.</w:t>
      </w:r>
    </w:p>
    <w:p w14:paraId="6E373F3D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881F561" w14:textId="77777777" w:rsidR="00F13401" w:rsidRPr="00814CC3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14CC3">
        <w:rPr>
          <w:rFonts w:ascii="Times New Roman" w:eastAsia="Times New Roman" w:hAnsi="Times New Roman" w:cs="Times New Roman"/>
          <w:b/>
          <w:bCs/>
          <w:lang w:eastAsia="hr-HR"/>
        </w:rPr>
        <w:t>Članak 16.</w:t>
      </w:r>
    </w:p>
    <w:p w14:paraId="40BE9801" w14:textId="767E6A69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Knjigovodstvena evidencija nefinancijske dugotrajne imovine vodi se u Jedinstvenom upravnom odjelu Općine</w:t>
      </w:r>
      <w:r w:rsidR="00505C87">
        <w:rPr>
          <w:rFonts w:ascii="Times New Roman" w:eastAsia="Times New Roman" w:hAnsi="Times New Roman" w:cs="Times New Roman"/>
          <w:lang w:eastAsia="hr-HR"/>
        </w:rPr>
        <w:t xml:space="preserve"> Ernestinovo.</w:t>
      </w:r>
    </w:p>
    <w:p w14:paraId="6ADA41A4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2152444" w14:textId="572680F9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VII </w:t>
      </w:r>
      <w:r w:rsidR="00814CC3">
        <w:rPr>
          <w:rFonts w:ascii="Times New Roman" w:eastAsia="Times New Roman" w:hAnsi="Times New Roman" w:cs="Times New Roman"/>
          <w:b/>
          <w:lang w:eastAsia="hr-HR"/>
        </w:rPr>
        <w:t>.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 ZADUŽIVANJA I JAMSTVA</w:t>
      </w:r>
    </w:p>
    <w:p w14:paraId="101D2FEE" w14:textId="77777777" w:rsidR="00F13401" w:rsidRPr="00814CC3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AC46E2A" w14:textId="77777777" w:rsidR="00F13401" w:rsidRPr="00814CC3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14CC3">
        <w:rPr>
          <w:rFonts w:ascii="Times New Roman" w:eastAsia="Times New Roman" w:hAnsi="Times New Roman" w:cs="Times New Roman"/>
          <w:b/>
          <w:bCs/>
          <w:lang w:eastAsia="hr-HR"/>
        </w:rPr>
        <w:t>Članak 17.</w:t>
      </w:r>
    </w:p>
    <w:p w14:paraId="14551B5C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Općina Ernestinovo se može zadužiti dugoročno za investicije uzimanjem kredita, a koje potvrdi Općinsko Vijeće, uz prethodnu suglasnost Vlade Republike Hrvatske/Ministarstva financija Republike Hrvatske.</w:t>
      </w:r>
    </w:p>
    <w:p w14:paraId="200758CA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4E5F1FB" w14:textId="7B2EB7B4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VIII</w:t>
      </w:r>
      <w:r w:rsidR="00814CC3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 xml:space="preserve">  ZAVRŠNE ODREDBE</w:t>
      </w:r>
    </w:p>
    <w:p w14:paraId="148117A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77549F8" w14:textId="77777777" w:rsidR="00F13401" w:rsidRPr="007351D4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7351D4">
        <w:rPr>
          <w:rFonts w:ascii="Times New Roman" w:eastAsia="Times New Roman" w:hAnsi="Times New Roman" w:cs="Times New Roman"/>
          <w:b/>
          <w:bCs/>
          <w:lang w:eastAsia="hr-HR"/>
        </w:rPr>
        <w:t>Članak 18.</w:t>
      </w:r>
    </w:p>
    <w:p w14:paraId="00E314D9" w14:textId="002B0368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Ova Odluka objavit će se u </w:t>
      </w:r>
      <w:r w:rsidR="00505C87">
        <w:rPr>
          <w:rFonts w:ascii="Times New Roman" w:eastAsia="Times New Roman" w:hAnsi="Times New Roman" w:cs="Times New Roman"/>
          <w:lang w:eastAsia="hr-HR"/>
        </w:rPr>
        <w:t>„</w:t>
      </w:r>
      <w:r w:rsidRPr="008B709D">
        <w:rPr>
          <w:rFonts w:ascii="Times New Roman" w:eastAsia="Times New Roman" w:hAnsi="Times New Roman" w:cs="Times New Roman"/>
          <w:lang w:eastAsia="hr-HR"/>
        </w:rPr>
        <w:t>Službenom glasniku</w:t>
      </w:r>
      <w:r w:rsidR="00505C87">
        <w:rPr>
          <w:rFonts w:ascii="Times New Roman" w:eastAsia="Times New Roman" w:hAnsi="Times New Roman" w:cs="Times New Roman"/>
          <w:lang w:eastAsia="hr-HR"/>
        </w:rPr>
        <w:t>“</w:t>
      </w:r>
      <w:r w:rsidRPr="008B709D">
        <w:rPr>
          <w:rFonts w:ascii="Times New Roman" w:eastAsia="Times New Roman" w:hAnsi="Times New Roman" w:cs="Times New Roman"/>
          <w:lang w:eastAsia="hr-HR"/>
        </w:rPr>
        <w:t xml:space="preserve"> Općine Ernestinovo,  a stupa na snagu 1. siječnja </w:t>
      </w:r>
      <w:r w:rsidR="00103499">
        <w:rPr>
          <w:rFonts w:ascii="Times New Roman" w:eastAsia="Times New Roman" w:hAnsi="Times New Roman" w:cs="Times New Roman"/>
          <w:lang w:eastAsia="hr-HR"/>
        </w:rPr>
        <w:t>2023</w:t>
      </w:r>
      <w:r w:rsidRPr="008B709D">
        <w:rPr>
          <w:rFonts w:ascii="Times New Roman" w:eastAsia="Times New Roman" w:hAnsi="Times New Roman" w:cs="Times New Roman"/>
          <w:lang w:eastAsia="hr-HR"/>
        </w:rPr>
        <w:t>. godine.</w:t>
      </w:r>
    </w:p>
    <w:p w14:paraId="22A36C4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27D900C" w14:textId="3839C168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KLASA:  400-06</w:t>
      </w:r>
      <w:r w:rsidR="00814CC3">
        <w:rPr>
          <w:rFonts w:ascii="Times New Roman" w:eastAsia="Times New Roman" w:hAnsi="Times New Roman" w:cs="Times New Roman"/>
          <w:lang w:eastAsia="hr-HR"/>
        </w:rPr>
        <w:t>/22-02/</w:t>
      </w:r>
      <w:r w:rsidR="00EE15D4">
        <w:rPr>
          <w:rFonts w:ascii="Times New Roman" w:eastAsia="Times New Roman" w:hAnsi="Times New Roman" w:cs="Times New Roman"/>
          <w:lang w:eastAsia="hr-HR"/>
        </w:rPr>
        <w:t>6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 xml:space="preserve">    </w:t>
      </w:r>
    </w:p>
    <w:p w14:paraId="5938F4AC" w14:textId="590C3C72" w:rsidR="00814CC3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URBROJ: 2158</w:t>
      </w:r>
      <w:r w:rsidR="00814CC3">
        <w:rPr>
          <w:rFonts w:ascii="Times New Roman" w:eastAsia="Times New Roman" w:hAnsi="Times New Roman" w:cs="Times New Roman"/>
          <w:lang w:eastAsia="hr-HR"/>
        </w:rPr>
        <w:t>-19-01-22-</w:t>
      </w:r>
      <w:r w:rsidR="0085026E">
        <w:rPr>
          <w:rFonts w:ascii="Times New Roman" w:eastAsia="Times New Roman" w:hAnsi="Times New Roman" w:cs="Times New Roman"/>
          <w:lang w:eastAsia="hr-HR"/>
        </w:rPr>
        <w:t>1</w:t>
      </w:r>
    </w:p>
    <w:p w14:paraId="61C724D9" w14:textId="7C8080B5" w:rsidR="00814CC3" w:rsidRDefault="00F13401" w:rsidP="00F13401">
      <w:pPr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Ernestinovo, </w:t>
      </w:r>
      <w:r w:rsidR="0085026E">
        <w:rPr>
          <w:rFonts w:ascii="Times New Roman" w:eastAsia="Times New Roman" w:hAnsi="Times New Roman" w:cs="Times New Roman"/>
          <w:lang w:eastAsia="hr-HR"/>
        </w:rPr>
        <w:t>21.prosinca 2022.</w:t>
      </w:r>
      <w:r w:rsidRPr="008B709D"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     </w:t>
      </w:r>
      <w:r>
        <w:rPr>
          <w:rFonts w:ascii="Times New Roman" w:eastAsia="Times New Roman" w:hAnsi="Times New Roman" w:cs="Times New Roman"/>
          <w:lang w:eastAsia="hr-HR"/>
        </w:rPr>
        <w:tab/>
        <w:t xml:space="preserve">  </w:t>
      </w:r>
    </w:p>
    <w:p w14:paraId="25879204" w14:textId="15AAAD23" w:rsidR="00F13401" w:rsidRDefault="00F13401" w:rsidP="00F13401">
      <w:pPr>
        <w:rPr>
          <w:rFonts w:ascii="Times New Roman" w:eastAsia="Times New Roman" w:hAnsi="Times New Roman" w:cs="Times New Roman"/>
          <w:lang w:eastAsia="hr-HR"/>
        </w:rPr>
      </w:pPr>
    </w:p>
    <w:p w14:paraId="5CF95940" w14:textId="5A705413" w:rsidR="00F13401" w:rsidRDefault="00814CC3" w:rsidP="00814CC3">
      <w:pPr>
        <w:tabs>
          <w:tab w:val="left" w:pos="6660"/>
        </w:tabs>
        <w:spacing w:after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       Predsjednik Općinskog vijeća</w:t>
      </w:r>
    </w:p>
    <w:p w14:paraId="22564641" w14:textId="6287E3A3" w:rsidR="00814CC3" w:rsidRDefault="00814CC3" w:rsidP="00814CC3">
      <w:pPr>
        <w:tabs>
          <w:tab w:val="left" w:pos="6660"/>
        </w:tabs>
        <w:spacing w:after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           Krunoslav Dragičević</w:t>
      </w:r>
    </w:p>
    <w:p w14:paraId="03FD01D5" w14:textId="77777777" w:rsidR="00F7654F" w:rsidRDefault="00F7654F"/>
    <w:sectPr w:rsidR="00F7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7A384" w14:textId="77777777" w:rsidR="003046AE" w:rsidRDefault="003046AE" w:rsidP="007351D4">
      <w:pPr>
        <w:spacing w:after="0" w:line="240" w:lineRule="auto"/>
      </w:pPr>
      <w:r>
        <w:separator/>
      </w:r>
    </w:p>
  </w:endnote>
  <w:endnote w:type="continuationSeparator" w:id="0">
    <w:p w14:paraId="65BF81B0" w14:textId="77777777" w:rsidR="003046AE" w:rsidRDefault="003046AE" w:rsidP="0073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259D" w14:textId="77777777" w:rsidR="003046AE" w:rsidRDefault="003046AE" w:rsidP="007351D4">
      <w:pPr>
        <w:spacing w:after="0" w:line="240" w:lineRule="auto"/>
      </w:pPr>
      <w:r>
        <w:separator/>
      </w:r>
    </w:p>
  </w:footnote>
  <w:footnote w:type="continuationSeparator" w:id="0">
    <w:p w14:paraId="581D0562" w14:textId="77777777" w:rsidR="003046AE" w:rsidRDefault="003046AE" w:rsidP="00735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4"/>
    <w:rsid w:val="00103499"/>
    <w:rsid w:val="00133E4F"/>
    <w:rsid w:val="002B4BF1"/>
    <w:rsid w:val="003046AE"/>
    <w:rsid w:val="003B4624"/>
    <w:rsid w:val="0044122B"/>
    <w:rsid w:val="004E242E"/>
    <w:rsid w:val="00505C87"/>
    <w:rsid w:val="006928FD"/>
    <w:rsid w:val="007064DA"/>
    <w:rsid w:val="007351D4"/>
    <w:rsid w:val="00814CC3"/>
    <w:rsid w:val="0085026E"/>
    <w:rsid w:val="008C3D12"/>
    <w:rsid w:val="00910695"/>
    <w:rsid w:val="00B44CEB"/>
    <w:rsid w:val="00EE15D4"/>
    <w:rsid w:val="00F13401"/>
    <w:rsid w:val="00F7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7D91"/>
  <w15:chartTrackingRefBased/>
  <w15:docId w15:val="{D517B4BD-6B03-4C17-B85B-380BD489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4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5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51D4"/>
  </w:style>
  <w:style w:type="paragraph" w:styleId="Podnoje">
    <w:name w:val="footer"/>
    <w:basedOn w:val="Normal"/>
    <w:link w:val="PodnojeChar"/>
    <w:uiPriority w:val="99"/>
    <w:unhideWhenUsed/>
    <w:rsid w:val="00735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Šuica</dc:creator>
  <cp:keywords/>
  <dc:description/>
  <cp:lastModifiedBy>procelnik@ernestinovo.hr</cp:lastModifiedBy>
  <cp:revision>15</cp:revision>
  <cp:lastPrinted>2022-12-27T10:15:00Z</cp:lastPrinted>
  <dcterms:created xsi:type="dcterms:W3CDTF">2022-12-06T07:18:00Z</dcterms:created>
  <dcterms:modified xsi:type="dcterms:W3CDTF">2022-12-27T10:15:00Z</dcterms:modified>
</cp:coreProperties>
</file>