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D47D" w14:textId="77777777" w:rsidR="007D2F1E" w:rsidRDefault="007D2F1E">
      <w:pPr>
        <w:jc w:val="both"/>
      </w:pPr>
    </w:p>
    <w:p w14:paraId="71918D8F" w14:textId="77777777" w:rsidR="007D2F1E" w:rsidRDefault="007D2F1E">
      <w:pPr>
        <w:jc w:val="center"/>
      </w:pPr>
      <w:r>
        <w:rPr>
          <w:b/>
          <w:bCs/>
        </w:rPr>
        <w:t>PODACI VEZANI UZ NATJEČAJ</w:t>
      </w:r>
    </w:p>
    <w:p w14:paraId="384694A0" w14:textId="253F20B0" w:rsidR="00276983" w:rsidRDefault="007D2F1E" w:rsidP="00276983">
      <w:pPr>
        <w:jc w:val="center"/>
        <w:rPr>
          <w:b/>
          <w:bCs/>
        </w:rPr>
      </w:pPr>
      <w:r>
        <w:rPr>
          <w:b/>
          <w:bCs/>
        </w:rPr>
        <w:t>ZA</w:t>
      </w:r>
      <w:r w:rsidR="00276983">
        <w:rPr>
          <w:b/>
          <w:bCs/>
        </w:rPr>
        <w:t xml:space="preserve"> PRIJAM SLUŽBENIKA/ICE U JEDINSTVENI UPRAVNI ODJEL</w:t>
      </w:r>
    </w:p>
    <w:p w14:paraId="01D5B3F1" w14:textId="18D338C9" w:rsidR="00276983" w:rsidRPr="00276983" w:rsidRDefault="00276983" w:rsidP="00276983">
      <w:pPr>
        <w:jc w:val="center"/>
        <w:rPr>
          <w:b/>
          <w:bCs/>
        </w:rPr>
      </w:pPr>
      <w:r>
        <w:rPr>
          <w:b/>
          <w:bCs/>
        </w:rPr>
        <w:t>OPĆINE ERNESTINOVO</w:t>
      </w:r>
    </w:p>
    <w:p w14:paraId="0767A20A" w14:textId="77777777" w:rsidR="007D2F1E" w:rsidRDefault="007D2F1E">
      <w:pPr>
        <w:jc w:val="center"/>
      </w:pPr>
    </w:p>
    <w:p w14:paraId="2DC01A26" w14:textId="1939F766" w:rsidR="007D2F1E" w:rsidRDefault="0052373E">
      <w:pPr>
        <w:jc w:val="both"/>
      </w:pPr>
      <w:r>
        <w:rPr>
          <w:b/>
          <w:bCs/>
          <w:u w:val="single"/>
        </w:rPr>
        <w:t xml:space="preserve">Opis poslova radnog mjesta – </w:t>
      </w:r>
      <w:r w:rsidR="00276983">
        <w:rPr>
          <w:b/>
          <w:bCs/>
          <w:u w:val="single"/>
        </w:rPr>
        <w:t>Visi savjetnik za projekte EU</w:t>
      </w:r>
    </w:p>
    <w:p w14:paraId="3DB7E657" w14:textId="77777777" w:rsidR="007D2F1E" w:rsidRDefault="007D2F1E">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304"/>
      </w:tblGrid>
      <w:tr w:rsidR="00276983" w:rsidRPr="00276983" w14:paraId="246FD969" w14:textId="77777777" w:rsidTr="00A16E68">
        <w:tc>
          <w:tcPr>
            <w:tcW w:w="7974" w:type="dxa"/>
            <w:vAlign w:val="center"/>
          </w:tcPr>
          <w:p w14:paraId="4DDF6B11" w14:textId="77777777" w:rsidR="00276983" w:rsidRPr="00276983" w:rsidRDefault="00276983" w:rsidP="00276983">
            <w:pPr>
              <w:jc w:val="both"/>
              <w:rPr>
                <w:bCs/>
              </w:rPr>
            </w:pPr>
            <w:r w:rsidRPr="00276983">
              <w:rPr>
                <w:bCs/>
              </w:rPr>
              <w:t>Poslovi radnog mjesta - viši savjetnik za projekte EU</w:t>
            </w:r>
          </w:p>
        </w:tc>
        <w:tc>
          <w:tcPr>
            <w:tcW w:w="1312" w:type="dxa"/>
            <w:vAlign w:val="center"/>
          </w:tcPr>
          <w:p w14:paraId="0F1B4697" w14:textId="77777777" w:rsidR="00276983" w:rsidRPr="00276983" w:rsidRDefault="00276983" w:rsidP="00276983">
            <w:pPr>
              <w:jc w:val="both"/>
              <w:rPr>
                <w:bCs/>
              </w:rPr>
            </w:pPr>
            <w:r w:rsidRPr="00276983">
              <w:rPr>
                <w:bCs/>
              </w:rPr>
              <w:t>Približan postotak radnog vremena</w:t>
            </w:r>
          </w:p>
        </w:tc>
      </w:tr>
      <w:tr w:rsidR="00276983" w:rsidRPr="00276983" w14:paraId="7C0DEDC9" w14:textId="77777777" w:rsidTr="00A16E68">
        <w:tc>
          <w:tcPr>
            <w:tcW w:w="7974" w:type="dxa"/>
          </w:tcPr>
          <w:p w14:paraId="71F460B7" w14:textId="77777777" w:rsidR="00276983" w:rsidRPr="00276983" w:rsidRDefault="00276983" w:rsidP="00276983">
            <w:pPr>
              <w:jc w:val="both"/>
            </w:pPr>
            <w:r w:rsidRPr="00276983">
              <w:t>Glavni voditelj cjelokupnog projektnog ciklusa najsloženijih i najvećih projekata u trajanju od 18 mjeseci i više</w:t>
            </w:r>
          </w:p>
        </w:tc>
        <w:tc>
          <w:tcPr>
            <w:tcW w:w="1312" w:type="dxa"/>
          </w:tcPr>
          <w:p w14:paraId="472F48F0" w14:textId="77777777" w:rsidR="00276983" w:rsidRPr="00276983" w:rsidRDefault="00276983" w:rsidP="00276983">
            <w:pPr>
              <w:jc w:val="both"/>
            </w:pPr>
            <w:r w:rsidRPr="00276983">
              <w:t>20%</w:t>
            </w:r>
          </w:p>
        </w:tc>
      </w:tr>
      <w:tr w:rsidR="00276983" w:rsidRPr="00276983" w14:paraId="530E9252" w14:textId="77777777" w:rsidTr="00A16E68">
        <w:tc>
          <w:tcPr>
            <w:tcW w:w="7974" w:type="dxa"/>
          </w:tcPr>
          <w:p w14:paraId="3D68269D" w14:textId="77777777" w:rsidR="00276983" w:rsidRPr="00276983" w:rsidRDefault="00276983" w:rsidP="00276983">
            <w:pPr>
              <w:jc w:val="both"/>
            </w:pPr>
            <w:r w:rsidRPr="00276983">
              <w:t>Pravovremeno provođenje projektnih aktivnosti</w:t>
            </w:r>
          </w:p>
        </w:tc>
        <w:tc>
          <w:tcPr>
            <w:tcW w:w="1312" w:type="dxa"/>
          </w:tcPr>
          <w:p w14:paraId="5F9E32C5" w14:textId="77777777" w:rsidR="00276983" w:rsidRPr="00276983" w:rsidRDefault="00276983" w:rsidP="00276983">
            <w:pPr>
              <w:jc w:val="both"/>
            </w:pPr>
            <w:r w:rsidRPr="00276983">
              <w:t>20%</w:t>
            </w:r>
          </w:p>
        </w:tc>
      </w:tr>
      <w:tr w:rsidR="00276983" w:rsidRPr="00276983" w14:paraId="7A0072C2" w14:textId="77777777" w:rsidTr="00A16E68">
        <w:tc>
          <w:tcPr>
            <w:tcW w:w="7974" w:type="dxa"/>
          </w:tcPr>
          <w:p w14:paraId="71103D10" w14:textId="77777777" w:rsidR="00276983" w:rsidRPr="00276983" w:rsidRDefault="00276983" w:rsidP="00276983">
            <w:pPr>
              <w:jc w:val="both"/>
            </w:pPr>
            <w:r w:rsidRPr="00276983">
              <w:t>Koordinacija i briga za ispravno funkcioniranje projektnog tima</w:t>
            </w:r>
          </w:p>
        </w:tc>
        <w:tc>
          <w:tcPr>
            <w:tcW w:w="1312" w:type="dxa"/>
          </w:tcPr>
          <w:p w14:paraId="17037086" w14:textId="77777777" w:rsidR="00276983" w:rsidRPr="00276983" w:rsidRDefault="00276983" w:rsidP="00276983">
            <w:pPr>
              <w:jc w:val="both"/>
            </w:pPr>
            <w:r w:rsidRPr="00276983">
              <w:t>10%</w:t>
            </w:r>
          </w:p>
        </w:tc>
      </w:tr>
      <w:tr w:rsidR="00276983" w:rsidRPr="00276983" w14:paraId="1196059A" w14:textId="77777777" w:rsidTr="00A16E68">
        <w:tc>
          <w:tcPr>
            <w:tcW w:w="7974" w:type="dxa"/>
          </w:tcPr>
          <w:p w14:paraId="7E3F7183" w14:textId="77777777" w:rsidR="00276983" w:rsidRPr="00276983" w:rsidRDefault="00276983" w:rsidP="00276983">
            <w:pPr>
              <w:jc w:val="both"/>
            </w:pPr>
            <w:r w:rsidRPr="00276983">
              <w:t>Komunikacija i koordinacija s projektnim partnerima u svrhu uspješne i kvalitetne provedbe projektnih aktivnosti</w:t>
            </w:r>
          </w:p>
        </w:tc>
        <w:tc>
          <w:tcPr>
            <w:tcW w:w="1312" w:type="dxa"/>
          </w:tcPr>
          <w:p w14:paraId="62F2A44D" w14:textId="77777777" w:rsidR="00276983" w:rsidRPr="00276983" w:rsidRDefault="00276983" w:rsidP="00276983">
            <w:pPr>
              <w:jc w:val="both"/>
            </w:pPr>
            <w:r w:rsidRPr="00276983">
              <w:t>10%</w:t>
            </w:r>
          </w:p>
        </w:tc>
      </w:tr>
      <w:tr w:rsidR="00276983" w:rsidRPr="00276983" w14:paraId="36FF37F9" w14:textId="77777777" w:rsidTr="00A16E68">
        <w:tc>
          <w:tcPr>
            <w:tcW w:w="7974" w:type="dxa"/>
          </w:tcPr>
          <w:p w14:paraId="4361A070" w14:textId="77777777" w:rsidR="00276983" w:rsidRPr="00276983" w:rsidRDefault="00276983" w:rsidP="00276983">
            <w:pPr>
              <w:jc w:val="both"/>
            </w:pPr>
            <w:r w:rsidRPr="00276983">
              <w:t>Obavljanje postupaka javne nabave u svrhu provođenja projekta</w:t>
            </w:r>
          </w:p>
        </w:tc>
        <w:tc>
          <w:tcPr>
            <w:tcW w:w="1312" w:type="dxa"/>
          </w:tcPr>
          <w:p w14:paraId="1354CB12" w14:textId="77777777" w:rsidR="00276983" w:rsidRPr="00276983" w:rsidRDefault="00276983" w:rsidP="00276983">
            <w:pPr>
              <w:jc w:val="both"/>
            </w:pPr>
            <w:r w:rsidRPr="00276983">
              <w:t>5%</w:t>
            </w:r>
          </w:p>
        </w:tc>
      </w:tr>
      <w:tr w:rsidR="00276983" w:rsidRPr="00276983" w14:paraId="32CB5821" w14:textId="77777777" w:rsidTr="00A16E68">
        <w:tc>
          <w:tcPr>
            <w:tcW w:w="7974" w:type="dxa"/>
          </w:tcPr>
          <w:p w14:paraId="78131B67" w14:textId="77777777" w:rsidR="00276983" w:rsidRPr="00276983" w:rsidRDefault="00276983" w:rsidP="00276983">
            <w:pPr>
              <w:jc w:val="both"/>
            </w:pPr>
            <w:r w:rsidRPr="00276983">
              <w:t>Priprema financijskih i narativnih izvještaja</w:t>
            </w:r>
          </w:p>
        </w:tc>
        <w:tc>
          <w:tcPr>
            <w:tcW w:w="1312" w:type="dxa"/>
          </w:tcPr>
          <w:p w14:paraId="100F375B" w14:textId="77777777" w:rsidR="00276983" w:rsidRPr="00276983" w:rsidRDefault="00276983" w:rsidP="00276983">
            <w:pPr>
              <w:jc w:val="both"/>
            </w:pPr>
            <w:r w:rsidRPr="00276983">
              <w:t>5%</w:t>
            </w:r>
          </w:p>
        </w:tc>
      </w:tr>
      <w:tr w:rsidR="00276983" w:rsidRPr="00276983" w14:paraId="6DFF6D1E" w14:textId="77777777" w:rsidTr="00A16E68">
        <w:tc>
          <w:tcPr>
            <w:tcW w:w="7974" w:type="dxa"/>
          </w:tcPr>
          <w:p w14:paraId="3E00BB10" w14:textId="77777777" w:rsidR="00276983" w:rsidRPr="00276983" w:rsidRDefault="00276983" w:rsidP="00276983">
            <w:pPr>
              <w:jc w:val="both"/>
            </w:pPr>
            <w:r w:rsidRPr="00276983">
              <w:t>Izvještavanje  pročelnika o tijeku projekta i provedbi projektnih aktivnosti</w:t>
            </w:r>
          </w:p>
        </w:tc>
        <w:tc>
          <w:tcPr>
            <w:tcW w:w="1312" w:type="dxa"/>
          </w:tcPr>
          <w:p w14:paraId="3D151CD2" w14:textId="77777777" w:rsidR="00276983" w:rsidRPr="00276983" w:rsidRDefault="00276983" w:rsidP="00276983">
            <w:pPr>
              <w:jc w:val="both"/>
            </w:pPr>
            <w:r w:rsidRPr="00276983">
              <w:t>5%</w:t>
            </w:r>
          </w:p>
        </w:tc>
      </w:tr>
      <w:tr w:rsidR="00276983" w:rsidRPr="00276983" w14:paraId="2B3F3C2A" w14:textId="77777777" w:rsidTr="00A16E68">
        <w:tc>
          <w:tcPr>
            <w:tcW w:w="7974" w:type="dxa"/>
          </w:tcPr>
          <w:p w14:paraId="7B0A0704" w14:textId="77777777" w:rsidR="00276983" w:rsidRPr="00276983" w:rsidRDefault="00276983" w:rsidP="00276983">
            <w:pPr>
              <w:jc w:val="both"/>
            </w:pPr>
            <w:r w:rsidRPr="00276983">
              <w:t>Rješavanje mogućih neočekivanih situacija u tijeku provođenja projekta i pronalaženje prihvatljivih rješenja za omogućavanje nastavka uspješne provedbe projektnih aktivnosti</w:t>
            </w:r>
          </w:p>
        </w:tc>
        <w:tc>
          <w:tcPr>
            <w:tcW w:w="1312" w:type="dxa"/>
          </w:tcPr>
          <w:p w14:paraId="4ABC0CAE" w14:textId="77777777" w:rsidR="00276983" w:rsidRPr="00276983" w:rsidRDefault="00276983" w:rsidP="00276983">
            <w:pPr>
              <w:jc w:val="both"/>
            </w:pPr>
            <w:r w:rsidRPr="00276983">
              <w:t>5%</w:t>
            </w:r>
          </w:p>
        </w:tc>
      </w:tr>
      <w:tr w:rsidR="00276983" w:rsidRPr="00276983" w14:paraId="39ECEDFB" w14:textId="77777777" w:rsidTr="00A16E68">
        <w:tc>
          <w:tcPr>
            <w:tcW w:w="7974" w:type="dxa"/>
          </w:tcPr>
          <w:p w14:paraId="33F3DFA4" w14:textId="77777777" w:rsidR="00276983" w:rsidRPr="00276983" w:rsidRDefault="00276983" w:rsidP="00276983">
            <w:pPr>
              <w:jc w:val="both"/>
            </w:pPr>
            <w:r w:rsidRPr="00276983">
              <w:t>Sudjelovanje u postupcima revizije projekta</w:t>
            </w:r>
          </w:p>
        </w:tc>
        <w:tc>
          <w:tcPr>
            <w:tcW w:w="1312" w:type="dxa"/>
          </w:tcPr>
          <w:p w14:paraId="2DD75BE3" w14:textId="77777777" w:rsidR="00276983" w:rsidRPr="00276983" w:rsidRDefault="00276983" w:rsidP="00276983">
            <w:pPr>
              <w:jc w:val="both"/>
            </w:pPr>
            <w:r w:rsidRPr="00276983">
              <w:t>5%</w:t>
            </w:r>
          </w:p>
        </w:tc>
      </w:tr>
      <w:tr w:rsidR="00276983" w:rsidRPr="00276983" w14:paraId="6E2B9FF2" w14:textId="77777777" w:rsidTr="00A16E68">
        <w:tc>
          <w:tcPr>
            <w:tcW w:w="7974" w:type="dxa"/>
          </w:tcPr>
          <w:p w14:paraId="517279D8" w14:textId="77777777" w:rsidR="00276983" w:rsidRPr="00276983" w:rsidRDefault="00276983" w:rsidP="00276983">
            <w:pPr>
              <w:jc w:val="both"/>
            </w:pPr>
            <w:r w:rsidRPr="00276983">
              <w:t>Obavlja poslove administratora web stranice Općine i upravlja svim ostalim društvenim i komunikacijskim mrežama Općine</w:t>
            </w:r>
          </w:p>
        </w:tc>
        <w:tc>
          <w:tcPr>
            <w:tcW w:w="1312" w:type="dxa"/>
          </w:tcPr>
          <w:p w14:paraId="2FB92E22" w14:textId="77777777" w:rsidR="00276983" w:rsidRPr="00276983" w:rsidRDefault="00276983" w:rsidP="00276983">
            <w:pPr>
              <w:jc w:val="both"/>
            </w:pPr>
            <w:r w:rsidRPr="00276983">
              <w:t>5%</w:t>
            </w:r>
          </w:p>
        </w:tc>
      </w:tr>
      <w:tr w:rsidR="00276983" w:rsidRPr="00276983" w14:paraId="1A065641" w14:textId="77777777" w:rsidTr="00A16E68">
        <w:tc>
          <w:tcPr>
            <w:tcW w:w="7974" w:type="dxa"/>
          </w:tcPr>
          <w:p w14:paraId="1AA3FFB3" w14:textId="77777777" w:rsidR="00276983" w:rsidRPr="00276983" w:rsidRDefault="00276983" w:rsidP="00276983">
            <w:pPr>
              <w:jc w:val="both"/>
            </w:pPr>
            <w:r w:rsidRPr="00276983">
              <w:t>Obavlja i druge poslove po nalogu pročelnika</w:t>
            </w:r>
          </w:p>
        </w:tc>
        <w:tc>
          <w:tcPr>
            <w:tcW w:w="1312" w:type="dxa"/>
          </w:tcPr>
          <w:p w14:paraId="20954860" w14:textId="77777777" w:rsidR="00276983" w:rsidRPr="00276983" w:rsidRDefault="00276983" w:rsidP="00276983">
            <w:pPr>
              <w:jc w:val="both"/>
            </w:pPr>
            <w:r w:rsidRPr="00276983">
              <w:t>10%</w:t>
            </w:r>
          </w:p>
        </w:tc>
      </w:tr>
    </w:tbl>
    <w:p w14:paraId="530C7CD5" w14:textId="77777777" w:rsidR="007D2F1E" w:rsidRDefault="007D2F1E">
      <w:pPr>
        <w:jc w:val="both"/>
      </w:pPr>
    </w:p>
    <w:p w14:paraId="78EF64E0" w14:textId="77777777" w:rsidR="007D2F1E" w:rsidRDefault="007D2F1E">
      <w:pPr>
        <w:jc w:val="both"/>
        <w:rPr>
          <w:u w:val="single"/>
        </w:rPr>
      </w:pPr>
    </w:p>
    <w:p w14:paraId="12FDCCDB" w14:textId="77777777" w:rsidR="007D2F1E" w:rsidRDefault="007D2F1E">
      <w:pPr>
        <w:jc w:val="both"/>
      </w:pPr>
      <w:r>
        <w:rPr>
          <w:b/>
          <w:bCs/>
          <w:u w:val="single"/>
        </w:rPr>
        <w:t>Podaci o plaći</w:t>
      </w:r>
    </w:p>
    <w:p w14:paraId="2DA8B21F" w14:textId="6939DB8D" w:rsidR="007D2F1E" w:rsidRDefault="007D2F1E">
      <w:pPr>
        <w:jc w:val="both"/>
      </w:pPr>
      <w:r>
        <w:t>Koeficijent složenosti poslova navedenog radnog mjesta je 3,</w:t>
      </w:r>
      <w:r w:rsidR="00276983">
        <w:t>3</w:t>
      </w:r>
      <w:r>
        <w:t>5 uz osnovicu za izračun plaće u iznosu od 2.</w:t>
      </w:r>
      <w:r w:rsidR="00936930">
        <w:t>706</w:t>
      </w:r>
      <w:r>
        <w:t>,00 kn. Plaću čini umnožak koeficijenta složenosti poslova radnog mjesta i osnovice za izračun plaće uvećan za 0,5% za svaku navršenu godinu radnog staža.</w:t>
      </w:r>
    </w:p>
    <w:p w14:paraId="3BC60A75" w14:textId="77777777" w:rsidR="007D2F1E" w:rsidRDefault="007D2F1E">
      <w:pPr>
        <w:jc w:val="both"/>
        <w:rPr>
          <w:u w:val="single"/>
        </w:rPr>
      </w:pPr>
    </w:p>
    <w:p w14:paraId="378BF103" w14:textId="77777777" w:rsidR="007D2F1E" w:rsidRDefault="007D2F1E">
      <w:pPr>
        <w:jc w:val="both"/>
      </w:pPr>
      <w:r>
        <w:rPr>
          <w:b/>
          <w:bCs/>
          <w:u w:val="single"/>
        </w:rPr>
        <w:t>Pravni izvori za pripremanje kandidata za testiranje</w:t>
      </w:r>
    </w:p>
    <w:p w14:paraId="0EA9D703" w14:textId="77777777" w:rsidR="007D2F1E" w:rsidRDefault="007D2F1E">
      <w:pPr>
        <w:jc w:val="both"/>
      </w:pPr>
      <w:r>
        <w:t>Pitanja kojima se testira provjera znanja i sposobnosti bitnih za obavljanje poslova radnog mjesta za koje je raspisan javni natječaj temelji se na sljedećim propisima:</w:t>
      </w:r>
    </w:p>
    <w:p w14:paraId="24AA362E" w14:textId="77777777" w:rsidR="007D2F1E" w:rsidRDefault="007D2F1E">
      <w:pPr>
        <w:jc w:val="both"/>
      </w:pPr>
    </w:p>
    <w:p w14:paraId="30ED3D02" w14:textId="5DC7C0B0" w:rsidR="007D2F1E" w:rsidRDefault="007D2F1E">
      <w:pPr>
        <w:numPr>
          <w:ilvl w:val="0"/>
          <w:numId w:val="1"/>
        </w:numPr>
        <w:jc w:val="both"/>
      </w:pPr>
      <w:r>
        <w:t>Zakon o lokalnoj i područnoj (regionalnoj) samoupravi (Narodne novine, broj 33/01, 60/01, 129/05, 109/07, 125/08, 36/09, 36/09, 150/11, 144/12, 19/13, 137/15, 123/17, 98/19</w:t>
      </w:r>
      <w:r w:rsidR="00036EB4">
        <w:t>, 144/20</w:t>
      </w:r>
      <w:r>
        <w:t>)</w:t>
      </w:r>
    </w:p>
    <w:p w14:paraId="184A3558" w14:textId="77777777" w:rsidR="007D2F1E" w:rsidRDefault="007D2F1E">
      <w:pPr>
        <w:numPr>
          <w:ilvl w:val="0"/>
          <w:numId w:val="1"/>
        </w:numPr>
        <w:jc w:val="both"/>
      </w:pPr>
      <w:r>
        <w:t>Zakon o službenicima i namještenicima u lokalnoj i područnoj (regionalnoj) samoupravi (Narodne novine, broj 86/08, 61/11, 04/18, 112/19)</w:t>
      </w:r>
    </w:p>
    <w:p w14:paraId="71ED2C9C" w14:textId="77777777" w:rsidR="007D2F1E" w:rsidRDefault="007D2F1E">
      <w:pPr>
        <w:numPr>
          <w:ilvl w:val="0"/>
          <w:numId w:val="1"/>
        </w:numPr>
        <w:jc w:val="both"/>
      </w:pPr>
      <w:r>
        <w:t>Zakon o plaćama u lokalnoj (područnoj) i regionalnoj samoupravi (Narodne novine, broj 28/10)</w:t>
      </w:r>
    </w:p>
    <w:p w14:paraId="32D54CFE" w14:textId="3E214FEB" w:rsidR="007D2F1E" w:rsidRDefault="007D2F1E">
      <w:pPr>
        <w:numPr>
          <w:ilvl w:val="0"/>
          <w:numId w:val="1"/>
        </w:numPr>
        <w:jc w:val="both"/>
      </w:pPr>
      <w:r>
        <w:t>Zakon o općem upravnom postupku (Narodne novine, broj 47/09</w:t>
      </w:r>
      <w:r w:rsidR="00036EB4">
        <w:t>, 110/21</w:t>
      </w:r>
      <w:r>
        <w:t>)</w:t>
      </w:r>
    </w:p>
    <w:p w14:paraId="449B0AE1" w14:textId="63818590" w:rsidR="007D2F1E" w:rsidRDefault="007D2F1E" w:rsidP="00276983">
      <w:pPr>
        <w:numPr>
          <w:ilvl w:val="0"/>
          <w:numId w:val="1"/>
        </w:numPr>
        <w:jc w:val="both"/>
      </w:pPr>
      <w:r>
        <w:t xml:space="preserve">Zakon o </w:t>
      </w:r>
      <w:r w:rsidR="00276983">
        <w:t>radu (Narodne novine, br. 93/14, 127/17, 98/19)</w:t>
      </w:r>
    </w:p>
    <w:p w14:paraId="7AEDD387" w14:textId="2C27B6D6" w:rsidR="00276983" w:rsidRDefault="00276983" w:rsidP="00204DC7">
      <w:pPr>
        <w:ind w:left="720"/>
        <w:jc w:val="both"/>
      </w:pPr>
    </w:p>
    <w:p w14:paraId="0AFD378D" w14:textId="77777777" w:rsidR="007D2F1E" w:rsidRDefault="007D2F1E">
      <w:pPr>
        <w:jc w:val="both"/>
      </w:pPr>
    </w:p>
    <w:p w14:paraId="2F48DF96" w14:textId="77777777" w:rsidR="007D2F1E" w:rsidRDefault="007D2F1E">
      <w:pPr>
        <w:jc w:val="both"/>
      </w:pPr>
      <w:r>
        <w:lastRenderedPageBreak/>
        <w:t>Prethodnoj provjeri znanja i sposobnosti kandidata mogu pristupiti samo kandidati koji ispunjavaju formalne uvjete natječaja.</w:t>
      </w:r>
    </w:p>
    <w:p w14:paraId="19B63C49" w14:textId="77777777" w:rsidR="007D2F1E" w:rsidRDefault="007D2F1E">
      <w:pPr>
        <w:jc w:val="both"/>
      </w:pPr>
    </w:p>
    <w:p w14:paraId="05774805" w14:textId="77777777" w:rsidR="00036EB4" w:rsidRPr="00036EB4" w:rsidRDefault="00036EB4" w:rsidP="00036EB4">
      <w:pPr>
        <w:jc w:val="both"/>
        <w:rPr>
          <w:sz w:val="22"/>
          <w:szCs w:val="22"/>
        </w:rPr>
      </w:pPr>
      <w:r w:rsidRPr="00036EB4">
        <w:rPr>
          <w:b/>
          <w:bCs/>
          <w:sz w:val="22"/>
          <w:szCs w:val="22"/>
          <w:u w:val="single"/>
        </w:rPr>
        <w:t>Način prethodne provjere znanja i sposobnosti kandidata</w:t>
      </w:r>
    </w:p>
    <w:p w14:paraId="4C1288C6" w14:textId="77777777" w:rsidR="00036EB4" w:rsidRPr="00036EB4" w:rsidRDefault="00036EB4" w:rsidP="00036EB4">
      <w:pPr>
        <w:jc w:val="both"/>
        <w:rPr>
          <w:sz w:val="22"/>
          <w:szCs w:val="22"/>
        </w:rPr>
      </w:pPr>
      <w:r w:rsidRPr="00036EB4">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 na javni natječaj.</w:t>
      </w:r>
    </w:p>
    <w:p w14:paraId="7E1601E0" w14:textId="77777777" w:rsidR="00036EB4" w:rsidRPr="00036EB4" w:rsidRDefault="00036EB4" w:rsidP="00036EB4">
      <w:pPr>
        <w:jc w:val="both"/>
        <w:rPr>
          <w:sz w:val="22"/>
          <w:szCs w:val="22"/>
        </w:rPr>
      </w:pPr>
    </w:p>
    <w:p w14:paraId="2D52E18B" w14:textId="77777777" w:rsidR="00036EB4" w:rsidRPr="00036EB4" w:rsidRDefault="00036EB4" w:rsidP="00036EB4">
      <w:pPr>
        <w:jc w:val="both"/>
        <w:rPr>
          <w:sz w:val="22"/>
          <w:szCs w:val="22"/>
        </w:rPr>
      </w:pPr>
      <w:r w:rsidRPr="00036EB4">
        <w:rPr>
          <w:sz w:val="22"/>
          <w:szCs w:val="22"/>
        </w:rPr>
        <w:t xml:space="preserve">Po utvrđivanju identiteta, kandidatima će biti podijeljena pitanja za provjeru znanja. Navedena pismena provjera traje 45 minuta (stručni dio). </w:t>
      </w:r>
    </w:p>
    <w:p w14:paraId="5FA34C03" w14:textId="77777777" w:rsidR="00036EB4" w:rsidRPr="00036EB4" w:rsidRDefault="00036EB4" w:rsidP="00036EB4">
      <w:pPr>
        <w:jc w:val="both"/>
        <w:rPr>
          <w:sz w:val="22"/>
          <w:szCs w:val="22"/>
        </w:rPr>
      </w:pPr>
      <w:r w:rsidRPr="00036EB4">
        <w:rPr>
          <w:sz w:val="22"/>
          <w:szCs w:val="22"/>
        </w:rPr>
        <w:t xml:space="preserve">Kandidati su se dužni pridržavati utvrđenog vremena i rasporeda testiranja. </w:t>
      </w:r>
    </w:p>
    <w:p w14:paraId="16A809FA" w14:textId="77777777" w:rsidR="00036EB4" w:rsidRPr="00036EB4" w:rsidRDefault="00036EB4" w:rsidP="00036EB4">
      <w:pPr>
        <w:jc w:val="both"/>
        <w:rPr>
          <w:sz w:val="22"/>
          <w:szCs w:val="22"/>
        </w:rPr>
      </w:pPr>
      <w:r w:rsidRPr="00036EB4">
        <w:rPr>
          <w:sz w:val="22"/>
          <w:szCs w:val="22"/>
        </w:rPr>
        <w:t>Za vrijeme provjere znanja i sposobnosti nije dopušteno:</w:t>
      </w:r>
    </w:p>
    <w:p w14:paraId="47936B1A" w14:textId="77777777" w:rsidR="00036EB4" w:rsidRPr="00036EB4" w:rsidRDefault="00036EB4" w:rsidP="00036EB4">
      <w:pPr>
        <w:numPr>
          <w:ilvl w:val="1"/>
          <w:numId w:val="1"/>
        </w:numPr>
        <w:jc w:val="both"/>
        <w:rPr>
          <w:sz w:val="22"/>
          <w:szCs w:val="22"/>
        </w:rPr>
      </w:pPr>
      <w:r w:rsidRPr="00036EB4">
        <w:rPr>
          <w:sz w:val="22"/>
          <w:szCs w:val="22"/>
        </w:rPr>
        <w:t>koristiti se bilo kakvom literaturom odnosno bilješkama,</w:t>
      </w:r>
    </w:p>
    <w:p w14:paraId="7D808F85" w14:textId="77777777" w:rsidR="00036EB4" w:rsidRPr="00036EB4" w:rsidRDefault="00036EB4" w:rsidP="00036EB4">
      <w:pPr>
        <w:numPr>
          <w:ilvl w:val="1"/>
          <w:numId w:val="1"/>
        </w:numPr>
        <w:jc w:val="both"/>
        <w:rPr>
          <w:sz w:val="22"/>
          <w:szCs w:val="22"/>
        </w:rPr>
      </w:pPr>
      <w:r w:rsidRPr="00036EB4">
        <w:rPr>
          <w:sz w:val="22"/>
          <w:szCs w:val="22"/>
        </w:rPr>
        <w:t>koristiti mobitel ili druga komunikacijska sredstva,</w:t>
      </w:r>
    </w:p>
    <w:p w14:paraId="480EE1AB" w14:textId="77777777" w:rsidR="00036EB4" w:rsidRPr="00036EB4" w:rsidRDefault="00036EB4" w:rsidP="00036EB4">
      <w:pPr>
        <w:numPr>
          <w:ilvl w:val="1"/>
          <w:numId w:val="1"/>
        </w:numPr>
        <w:jc w:val="both"/>
        <w:rPr>
          <w:sz w:val="22"/>
          <w:szCs w:val="22"/>
        </w:rPr>
      </w:pPr>
      <w:r w:rsidRPr="00036EB4">
        <w:rPr>
          <w:sz w:val="22"/>
          <w:szCs w:val="22"/>
        </w:rPr>
        <w:t>napuštati prostoriju u kojoj se provjera odvija,</w:t>
      </w:r>
    </w:p>
    <w:p w14:paraId="7DF43CCD" w14:textId="4B87B723" w:rsidR="00036EB4" w:rsidRDefault="00036EB4" w:rsidP="00036EB4">
      <w:pPr>
        <w:numPr>
          <w:ilvl w:val="1"/>
          <w:numId w:val="1"/>
        </w:numPr>
        <w:jc w:val="both"/>
        <w:rPr>
          <w:sz w:val="22"/>
          <w:szCs w:val="22"/>
        </w:rPr>
      </w:pPr>
      <w:r w:rsidRPr="00036EB4">
        <w:rPr>
          <w:sz w:val="22"/>
          <w:szCs w:val="22"/>
        </w:rPr>
        <w:t>razgovarati sa ostalim kandidatima niti na bilo koji drugi način remetiti koncentraciju kandidata</w:t>
      </w:r>
    </w:p>
    <w:p w14:paraId="30899AC0" w14:textId="77777777" w:rsidR="00036EB4" w:rsidRPr="00036EB4" w:rsidRDefault="00036EB4" w:rsidP="00036EB4">
      <w:pPr>
        <w:ind w:left="1440"/>
        <w:jc w:val="both"/>
        <w:rPr>
          <w:sz w:val="22"/>
          <w:szCs w:val="22"/>
        </w:rPr>
      </w:pPr>
    </w:p>
    <w:p w14:paraId="01468FD4" w14:textId="77777777" w:rsidR="00036EB4" w:rsidRPr="00036EB4" w:rsidRDefault="00036EB4" w:rsidP="00036EB4">
      <w:pPr>
        <w:jc w:val="both"/>
        <w:rPr>
          <w:sz w:val="22"/>
          <w:szCs w:val="22"/>
        </w:rPr>
      </w:pPr>
      <w:r w:rsidRPr="00036EB4">
        <w:rPr>
          <w:sz w:val="22"/>
          <w:szCs w:val="22"/>
        </w:rPr>
        <w:t xml:space="preserve">Kandidati koji se budu ponašali neprimjerno ili prekrše jedno od gore navedenih pravila bit će udaljeni sa testiranja, a njihov rezultat i rad neće se bodovati. </w:t>
      </w:r>
    </w:p>
    <w:p w14:paraId="0B0878AF" w14:textId="77777777" w:rsidR="00036EB4" w:rsidRPr="00036EB4" w:rsidRDefault="00036EB4" w:rsidP="00036EB4">
      <w:pPr>
        <w:jc w:val="both"/>
        <w:rPr>
          <w:sz w:val="22"/>
          <w:szCs w:val="22"/>
        </w:rPr>
      </w:pPr>
      <w:r w:rsidRPr="00036EB4">
        <w:rPr>
          <w:sz w:val="22"/>
          <w:szCs w:val="22"/>
        </w:rPr>
        <w:t>Za provjeru znanja dodjeljuje se od 1 do 10 bodova. Smatra se da su kandidati položili provjeru znanja, sposobnosti i vještina dobili najmanje 5 bodova. Kandidati koji su uspješno položili pisani dio, pristupit će na intervju.</w:t>
      </w:r>
    </w:p>
    <w:p w14:paraId="5F0A7BAF" w14:textId="77777777" w:rsidR="00036EB4" w:rsidRPr="00036EB4" w:rsidRDefault="00036EB4" w:rsidP="00036EB4">
      <w:pPr>
        <w:jc w:val="both"/>
        <w:rPr>
          <w:sz w:val="22"/>
          <w:szCs w:val="22"/>
        </w:rPr>
      </w:pPr>
      <w:r w:rsidRPr="00036EB4">
        <w:rPr>
          <w:sz w:val="22"/>
          <w:szCs w:val="22"/>
        </w:rPr>
        <w:t xml:space="preserve">Kroz razgovor s kandidatima utvrđuju se interesi, profesionalni ciljevi i motivacija kandidata za rad u jedinici lokalne samouprave. Rezultati intervjua boduju se na isti način kao i testiranje. </w:t>
      </w:r>
    </w:p>
    <w:p w14:paraId="3037D110" w14:textId="77777777" w:rsidR="00036EB4" w:rsidRPr="00036EB4" w:rsidRDefault="00036EB4" w:rsidP="00036EB4">
      <w:pPr>
        <w:jc w:val="both"/>
        <w:rPr>
          <w:sz w:val="22"/>
          <w:szCs w:val="22"/>
        </w:rPr>
      </w:pPr>
      <w:r w:rsidRPr="00036EB4">
        <w:rPr>
          <w:sz w:val="22"/>
          <w:szCs w:val="22"/>
        </w:rPr>
        <w:t>Kandidati koji su pristupili testiranju imaju pravo uvida u rezultate provedenog postupka.</w:t>
      </w:r>
    </w:p>
    <w:p w14:paraId="685C24EF" w14:textId="77777777" w:rsidR="00036EB4" w:rsidRPr="00036EB4" w:rsidRDefault="00036EB4" w:rsidP="00036EB4">
      <w:pPr>
        <w:jc w:val="both"/>
        <w:rPr>
          <w:sz w:val="22"/>
          <w:szCs w:val="22"/>
        </w:rPr>
      </w:pPr>
      <w:r w:rsidRPr="00036EB4">
        <w:rPr>
          <w:sz w:val="22"/>
          <w:szCs w:val="22"/>
        </w:rPr>
        <w:t>Nakon provedenog testiranja i intervjua utvrđuje se rang lista kandidata prema ukupnom broju bodova ostvarenih na testiranju i intervjuu.</w:t>
      </w:r>
    </w:p>
    <w:p w14:paraId="3201C1A9" w14:textId="4CE96097" w:rsidR="00036EB4" w:rsidRPr="00036EB4" w:rsidRDefault="00036EB4" w:rsidP="00036EB4">
      <w:pPr>
        <w:jc w:val="both"/>
        <w:rPr>
          <w:sz w:val="22"/>
          <w:szCs w:val="22"/>
        </w:rPr>
      </w:pPr>
      <w:r w:rsidRPr="00036EB4">
        <w:rPr>
          <w:sz w:val="22"/>
          <w:szCs w:val="22"/>
        </w:rPr>
        <w:t>Pročelni</w:t>
      </w:r>
      <w:r w:rsidR="00032B2E">
        <w:rPr>
          <w:sz w:val="22"/>
          <w:szCs w:val="22"/>
        </w:rPr>
        <w:t>k</w:t>
      </w:r>
      <w:r w:rsidRPr="00036EB4">
        <w:rPr>
          <w:sz w:val="22"/>
          <w:szCs w:val="22"/>
        </w:rPr>
        <w:t xml:space="preserve"> Jedinstvenog upravnog odjela donosi rješenje o prijemu u službu koje će biti dostavljeno svim kandidatima prijavljenim na oglas, a koji su ispunili formalne uvjete.</w:t>
      </w:r>
    </w:p>
    <w:p w14:paraId="086F4C43" w14:textId="77777777" w:rsidR="00036EB4" w:rsidRPr="00036EB4" w:rsidRDefault="00036EB4" w:rsidP="00036EB4">
      <w:pPr>
        <w:jc w:val="both"/>
        <w:rPr>
          <w:sz w:val="22"/>
          <w:szCs w:val="22"/>
        </w:rPr>
      </w:pPr>
      <w:r w:rsidRPr="00036EB4">
        <w:rPr>
          <w:sz w:val="22"/>
          <w:szCs w:val="22"/>
        </w:rPr>
        <w:t>Izabrani kandidat mora dostaviti uvjerenje o zdravstvenoj sposobnosti prije donošenja rješenja o prijmu u službu.</w:t>
      </w:r>
    </w:p>
    <w:p w14:paraId="30CD4DFA" w14:textId="5639B270" w:rsidR="00036EB4" w:rsidRPr="00036EB4" w:rsidRDefault="00036EB4" w:rsidP="00036EB4">
      <w:pPr>
        <w:jc w:val="both"/>
        <w:rPr>
          <w:sz w:val="22"/>
          <w:szCs w:val="22"/>
        </w:rPr>
      </w:pPr>
      <w:r w:rsidRPr="00036EB4">
        <w:rPr>
          <w:sz w:val="22"/>
          <w:szCs w:val="22"/>
        </w:rPr>
        <w:t>Pročelni</w:t>
      </w:r>
      <w:r w:rsidR="00032B2E">
        <w:rPr>
          <w:sz w:val="22"/>
          <w:szCs w:val="22"/>
        </w:rPr>
        <w:t>k</w:t>
      </w:r>
      <w:r w:rsidRPr="00036EB4">
        <w:rPr>
          <w:sz w:val="22"/>
          <w:szCs w:val="22"/>
        </w:rPr>
        <w:t xml:space="preserve"> donosi rješenje o prijmu u službu koje se dostavlja svim kandidatima koji su se prijavili za radno mjesto, a koji su ispunili formalne uvjete.</w:t>
      </w:r>
    </w:p>
    <w:p w14:paraId="4F354D08" w14:textId="77777777" w:rsidR="00036EB4" w:rsidRPr="00036EB4" w:rsidRDefault="00036EB4" w:rsidP="00036EB4">
      <w:pPr>
        <w:jc w:val="both"/>
        <w:rPr>
          <w:sz w:val="22"/>
          <w:szCs w:val="22"/>
        </w:rPr>
      </w:pPr>
      <w:r w:rsidRPr="00036EB4">
        <w:rPr>
          <w:sz w:val="22"/>
          <w:szCs w:val="22"/>
        </w:rPr>
        <w:t>Kandidat koji nije primljen u službu može podnijeti žalbu općinskoj načelnici u roku od 15 dana od dana dostave rješenja. Žalba ne odgađa izvršenje rješenja o prijmu u službu.</w:t>
      </w:r>
    </w:p>
    <w:p w14:paraId="4AD9043F" w14:textId="77777777" w:rsidR="00036EB4" w:rsidRPr="00036EB4" w:rsidRDefault="00036EB4" w:rsidP="00036EB4">
      <w:pPr>
        <w:jc w:val="both"/>
        <w:rPr>
          <w:sz w:val="22"/>
          <w:szCs w:val="22"/>
        </w:rPr>
      </w:pPr>
    </w:p>
    <w:p w14:paraId="08E87195" w14:textId="0284C4A6" w:rsidR="00036EB4" w:rsidRPr="00036EB4" w:rsidRDefault="00036EB4" w:rsidP="00036EB4">
      <w:pPr>
        <w:jc w:val="both"/>
        <w:rPr>
          <w:sz w:val="22"/>
          <w:szCs w:val="22"/>
        </w:rPr>
      </w:pPr>
      <w:r w:rsidRPr="00036EB4">
        <w:rPr>
          <w:sz w:val="22"/>
          <w:szCs w:val="22"/>
        </w:rPr>
        <w:t>Poziv na testiranje bit će objavljen najmanje 5 dana prije testiranja na mrežnoj stranici i oglasnoj ploči Općine Ernestinovo.</w:t>
      </w:r>
    </w:p>
    <w:p w14:paraId="585A186D" w14:textId="77777777" w:rsidR="00036EB4" w:rsidRPr="00036EB4" w:rsidRDefault="00036EB4" w:rsidP="00036EB4"/>
    <w:p w14:paraId="732C21A2" w14:textId="77777777" w:rsidR="007D2F1E" w:rsidRDefault="007D2F1E">
      <w:pPr>
        <w:jc w:val="both"/>
      </w:pPr>
    </w:p>
    <w:p w14:paraId="7F1340C1" w14:textId="77777777" w:rsidR="007D2F1E" w:rsidRDefault="007D2F1E">
      <w:pPr>
        <w:jc w:val="both"/>
      </w:pPr>
    </w:p>
    <w:p w14:paraId="20A83B74" w14:textId="77777777" w:rsidR="007D2F1E" w:rsidRPr="00B8280B" w:rsidRDefault="00B8280B">
      <w:pPr>
        <w:jc w:val="right"/>
        <w:rPr>
          <w:i/>
        </w:rPr>
      </w:pPr>
      <w:r w:rsidRPr="00B8280B">
        <w:rPr>
          <w:i/>
        </w:rPr>
        <w:t>Povjerenstvo za provedbu natječaja</w:t>
      </w:r>
    </w:p>
    <w:p w14:paraId="70FD970C" w14:textId="77777777" w:rsidR="007D2F1E" w:rsidRDefault="007D2F1E">
      <w:pPr>
        <w:jc w:val="both"/>
      </w:pPr>
    </w:p>
    <w:sectPr w:rsidR="007D2F1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37390521">
    <w:abstractNumId w:val="0"/>
  </w:num>
  <w:num w:numId="2" w16cid:durableId="185029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0B"/>
    <w:rsid w:val="00032B2E"/>
    <w:rsid w:val="00036EB4"/>
    <w:rsid w:val="00064389"/>
    <w:rsid w:val="00204DC7"/>
    <w:rsid w:val="00276983"/>
    <w:rsid w:val="0052373E"/>
    <w:rsid w:val="007D2F1E"/>
    <w:rsid w:val="00923791"/>
    <w:rsid w:val="00936930"/>
    <w:rsid w:val="00A06AC3"/>
    <w:rsid w:val="00B8280B"/>
    <w:rsid w:val="00E40673"/>
    <w:rsid w:val="00F545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61408"/>
  <w15:chartTrackingRefBased/>
  <w15:docId w15:val="{DFAC6BE5-20E2-4A9F-9531-83A87993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Naslov2">
    <w:name w:val="heading 2"/>
    <w:basedOn w:val="Normal"/>
    <w:next w:val="Normal"/>
    <w:qFormat/>
    <w:pPr>
      <w:keepNext/>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Zadanifontodlomka1">
    <w:name w:val="Zadani font odlomka1"/>
  </w:style>
  <w:style w:type="paragraph" w:customStyle="1" w:styleId="Stilnaslova">
    <w:name w:val="Stil naslova"/>
    <w:basedOn w:val="Normal"/>
    <w:next w:val="Tijeloteksta"/>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729</Words>
  <Characters>4160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UPRAVNI ODJEL ZA FINANCIJE, KNJIGOVODSTVO</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FINANCIJE, KNJIGOVODSTVO</dc:title>
  <dc:subject/>
  <dc:creator>Cepin</dc:creator>
  <cp:keywords/>
  <cp:lastModifiedBy>procelnik@ernestinovo.hr</cp:lastModifiedBy>
  <cp:revision>7</cp:revision>
  <cp:lastPrinted>2022-07-07T08:30:00Z</cp:lastPrinted>
  <dcterms:created xsi:type="dcterms:W3CDTF">2022-01-27T13:31:00Z</dcterms:created>
  <dcterms:modified xsi:type="dcterms:W3CDTF">2022-07-07T08:30:00Z</dcterms:modified>
</cp:coreProperties>
</file>