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172B" w14:textId="4D3F35EE" w:rsidR="006C711E" w:rsidRPr="0054643B" w:rsidRDefault="006C711E" w:rsidP="00373369">
      <w:pPr>
        <w:jc w:val="center"/>
        <w:rPr>
          <w:b/>
          <w:bCs/>
          <w:sz w:val="30"/>
          <w:szCs w:val="30"/>
        </w:rPr>
      </w:pPr>
      <w:r w:rsidRPr="0054643B">
        <w:rPr>
          <w:b/>
          <w:bCs/>
          <w:sz w:val="30"/>
          <w:szCs w:val="30"/>
        </w:rPr>
        <w:t>OBRAZLOŽENJE PLANA PRORAČUNA ZA 2022. GODINU</w:t>
      </w:r>
    </w:p>
    <w:p w14:paraId="0D04C348" w14:textId="77777777" w:rsidR="00597F96" w:rsidRDefault="00597F96" w:rsidP="00373369">
      <w:pPr>
        <w:rPr>
          <w:b/>
          <w:bCs/>
          <w:sz w:val="28"/>
          <w:szCs w:val="28"/>
        </w:rPr>
      </w:pPr>
    </w:p>
    <w:p w14:paraId="6842A57C" w14:textId="77777777" w:rsidR="006C711E" w:rsidRPr="0055138C" w:rsidRDefault="006C711E" w:rsidP="006C711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5138C">
        <w:rPr>
          <w:b/>
          <w:bCs/>
          <w:sz w:val="28"/>
          <w:szCs w:val="28"/>
        </w:rPr>
        <w:t>ZAKONSKA OSNOVA</w:t>
      </w:r>
    </w:p>
    <w:p w14:paraId="5FD37BAF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Proračun jedinice lokalne i područne (regionalne) samouprave je akt kojim se procjenjuju prihodi i primici te utvrđuju rashodi i izdaci jedinice lokalne i područne  (regionalne) samouprave za jednu godinu, a u skladu sa zakonom i odlukom o donesenom na temelju zakona, a donosi ga njezino predstavničko tijelo.</w:t>
      </w:r>
    </w:p>
    <w:p w14:paraId="4F3CC928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Metodologija za izradu proračuna propisana je Zakonom o Proračunu (Narodne novine br. 87/08, 136/12i 15/15) i podzakonskim aktima kojima se regulira provedba navedenog Zakona.</w:t>
      </w:r>
    </w:p>
    <w:p w14:paraId="69FDE28A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Prema Zakonu o Proračunu, proračun se sastoji od općeg i posebno dijela.</w:t>
      </w:r>
    </w:p>
    <w:p w14:paraId="4BE8AE42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Opći dio Proračuna čini Račun prihoda i rashoda i višak prihoda iz prethodnih godina. Račun prihoda i  rashoda čine prihodi i rashodi prema ekonomskoj klasifikaciji.</w:t>
      </w:r>
    </w:p>
    <w:p w14:paraId="28432449" w14:textId="750FF9E0" w:rsidR="00597F96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Posebni dio Proračuna se sastoji od plana rashoda i izdataka iskazanih po vrstama, raspoređenih u programe koji se sastoje od aktivnosti i projekata.</w:t>
      </w:r>
    </w:p>
    <w:p w14:paraId="09F36473" w14:textId="77777777" w:rsidR="006C711E" w:rsidRPr="00FE6F9B" w:rsidRDefault="006C711E" w:rsidP="006C711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PRIHODI I PRIMICI PRORAČUNA</w:t>
      </w:r>
    </w:p>
    <w:p w14:paraId="59614EB7" w14:textId="6C92A264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U planu Proračuna općine Ernestinovo za 2022. godinu predlažu se ukupni prihodi u iznosu od 1</w:t>
      </w:r>
      <w:r w:rsidR="00F54CC7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F54CC7">
        <w:rPr>
          <w:sz w:val="24"/>
          <w:szCs w:val="24"/>
        </w:rPr>
        <w:t>472</w:t>
      </w:r>
      <w:r>
        <w:rPr>
          <w:sz w:val="24"/>
          <w:szCs w:val="24"/>
        </w:rPr>
        <w:t>.</w:t>
      </w:r>
      <w:r w:rsidR="00F54CC7">
        <w:rPr>
          <w:sz w:val="24"/>
          <w:szCs w:val="24"/>
        </w:rPr>
        <w:t>544</w:t>
      </w:r>
      <w:r>
        <w:rPr>
          <w:sz w:val="24"/>
          <w:szCs w:val="24"/>
        </w:rPr>
        <w:t>,00 kuna. Odnose se na prihode poslovanja (1</w:t>
      </w:r>
      <w:r w:rsidR="00F54CC7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F54CC7">
        <w:rPr>
          <w:sz w:val="24"/>
          <w:szCs w:val="24"/>
        </w:rPr>
        <w:t>439</w:t>
      </w:r>
      <w:r>
        <w:rPr>
          <w:sz w:val="24"/>
          <w:szCs w:val="24"/>
        </w:rPr>
        <w:t>.</w:t>
      </w:r>
      <w:r w:rsidR="00F54CC7">
        <w:rPr>
          <w:sz w:val="24"/>
          <w:szCs w:val="24"/>
        </w:rPr>
        <w:t>362</w:t>
      </w:r>
      <w:r>
        <w:rPr>
          <w:sz w:val="24"/>
          <w:szCs w:val="24"/>
        </w:rPr>
        <w:t>,00), prihode od prodaje nefinancijske  imovine (38.475,00kn) i višak prihoda iz prethodne godine ( 1.994.707,00 )</w:t>
      </w:r>
    </w:p>
    <w:p w14:paraId="0515B281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Prihode poslovanja čine :</w:t>
      </w:r>
    </w:p>
    <w:p w14:paraId="2C6DA12F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poreza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CD42E6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Pomoći iz inozemstva i od subjekata unutar općeg  proračuna</w:t>
      </w:r>
    </w:p>
    <w:p w14:paraId="518C1538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imovine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0616F0DF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Prihodi od upravnih i </w:t>
      </w:r>
      <w:proofErr w:type="spellStart"/>
      <w:r>
        <w:rPr>
          <w:sz w:val="24"/>
          <w:szCs w:val="24"/>
        </w:rPr>
        <w:t>admin.pristojbi</w:t>
      </w:r>
      <w:proofErr w:type="spellEnd"/>
      <w:r>
        <w:rPr>
          <w:sz w:val="24"/>
          <w:szCs w:val="24"/>
        </w:rPr>
        <w:t xml:space="preserve">, pristojbi po posebnim </w:t>
      </w:r>
      <w:proofErr w:type="spellStart"/>
      <w:r>
        <w:rPr>
          <w:sz w:val="24"/>
          <w:szCs w:val="24"/>
        </w:rPr>
        <w:t>prop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</w:p>
    <w:p w14:paraId="3923413A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Prihodi od prodaje proizvoda i  pruženih usluga i donacija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188A19FA" w14:textId="77777777" w:rsidR="006C711E" w:rsidRPr="00FF2DC6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Kazne, upravne mjere i ostali prihodi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FF2DC6">
        <w:rPr>
          <w:sz w:val="24"/>
          <w:szCs w:val="24"/>
        </w:rPr>
        <w:tab/>
      </w:r>
      <w:r w:rsidRPr="00FF2DC6">
        <w:rPr>
          <w:sz w:val="24"/>
          <w:szCs w:val="24"/>
        </w:rPr>
        <w:tab/>
      </w:r>
    </w:p>
    <w:p w14:paraId="05133F60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Prihodi od prodaje nefinancijske imovine odnose se isključivo na prihode od prodaje državnog poljoprivrednog zemljišta.</w:t>
      </w:r>
    </w:p>
    <w:tbl>
      <w:tblPr>
        <w:tblW w:w="11046" w:type="dxa"/>
        <w:tblLook w:val="04A0" w:firstRow="1" w:lastRow="0" w:firstColumn="1" w:lastColumn="0" w:noHBand="0" w:noVBand="1"/>
      </w:tblPr>
      <w:tblGrid>
        <w:gridCol w:w="11406"/>
      </w:tblGrid>
      <w:tr w:rsidR="006C711E" w:rsidRPr="00AB7C7C" w14:paraId="4CB7A145" w14:textId="77777777" w:rsidTr="00246FF1">
        <w:trPr>
          <w:trHeight w:val="381"/>
        </w:trPr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72F827" w14:textId="77777777" w:rsidR="006C711E" w:rsidRDefault="006C711E" w:rsidP="00246FF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2BA6C570" w14:textId="77777777" w:rsidR="006C711E" w:rsidRDefault="006C711E" w:rsidP="00246FF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7F1284A" w14:textId="77777777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9A3671D" w14:textId="77777777" w:rsidR="006C711E" w:rsidRPr="00AB7C7C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noProof/>
                <w:color w:val="000000"/>
                <w:sz w:val="24"/>
                <w:szCs w:val="24"/>
                <w:lang w:eastAsia="hr-HR"/>
              </w:rPr>
              <w:drawing>
                <wp:inline distT="0" distB="0" distL="0" distR="0" wp14:anchorId="1CFCB546" wp14:editId="25C30B88">
                  <wp:extent cx="7105650" cy="3409950"/>
                  <wp:effectExtent l="0" t="0" r="0" b="0"/>
                  <wp:docPr id="4" name="Grafikon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6C711E" w:rsidRPr="00AB7C7C" w14:paraId="638C6B49" w14:textId="77777777" w:rsidTr="00246FF1">
        <w:trPr>
          <w:trHeight w:val="381"/>
        </w:trPr>
        <w:tc>
          <w:tcPr>
            <w:tcW w:w="1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2B6D3" w14:textId="77777777" w:rsidR="006C711E" w:rsidRDefault="006C711E" w:rsidP="00246FF1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21C7F90" w14:textId="376DCF0D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Prihodi poslovanja                                                                     1</w:t>
            </w:r>
            <w:r w:rsidR="00850E2A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850E2A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439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850E2A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362</w:t>
            </w: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  <w:p w14:paraId="2A569905" w14:textId="77777777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Prihodi od prodaje nefinancijske imovine                               38.475,00</w:t>
            </w:r>
          </w:p>
          <w:p w14:paraId="57392942" w14:textId="77777777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  <w:t>Viška prihoda iz prethodnih godina                                      1.994.707,00</w:t>
            </w:r>
          </w:p>
          <w:p w14:paraId="1CB66EA8" w14:textId="77777777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DBFD649" w14:textId="7F1738BC" w:rsidR="006C711E" w:rsidRDefault="006C711E" w:rsidP="00246FF1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B66F80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UKUPNO:                                                                                        1</w:t>
            </w:r>
            <w:r w:rsidR="00F54C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9</w:t>
            </w:r>
            <w:r w:rsidRPr="00B66F80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.</w:t>
            </w:r>
            <w:r w:rsidR="00F54C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472</w:t>
            </w:r>
            <w:r w:rsidRPr="00B66F80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.</w:t>
            </w:r>
            <w:r w:rsidR="00F54CC7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544</w:t>
            </w:r>
            <w:r w:rsidRPr="00B66F80">
              <w:rPr>
                <w:rFonts w:ascii="Arimo" w:eastAsia="Times New Roman" w:hAnsi="Arimo" w:cs="Calibri"/>
                <w:b/>
                <w:bCs/>
                <w:color w:val="000000"/>
                <w:sz w:val="24"/>
                <w:szCs w:val="24"/>
                <w:highlight w:val="lightGray"/>
                <w:lang w:eastAsia="hr-HR"/>
              </w:rPr>
              <w:t>,00</w:t>
            </w:r>
          </w:p>
        </w:tc>
      </w:tr>
    </w:tbl>
    <w:p w14:paraId="3E4ACEDD" w14:textId="19454619" w:rsidR="00582025" w:rsidRDefault="00582025"/>
    <w:p w14:paraId="551B49E7" w14:textId="77777777" w:rsidR="006C711E" w:rsidRDefault="006C711E" w:rsidP="006C711E">
      <w:pPr>
        <w:pStyle w:val="Odlomakpopis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RASHODI I IZDACI PRORAČUNA</w:t>
      </w:r>
    </w:p>
    <w:p w14:paraId="12EEF3FE" w14:textId="046E5C56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rashodi i izdaci planirani su u 2022. godini u iznosu od </w:t>
      </w:r>
      <w:r w:rsidR="004B341E">
        <w:rPr>
          <w:sz w:val="24"/>
          <w:szCs w:val="24"/>
        </w:rPr>
        <w:t>19.472.544,00</w:t>
      </w:r>
      <w:r>
        <w:rPr>
          <w:sz w:val="24"/>
          <w:szCs w:val="24"/>
        </w:rPr>
        <w:t xml:space="preserve"> kuna, a odnose se na rashode poslovanja ( 17.</w:t>
      </w:r>
      <w:r w:rsidR="004B341E">
        <w:rPr>
          <w:sz w:val="24"/>
          <w:szCs w:val="24"/>
        </w:rPr>
        <w:t>946</w:t>
      </w:r>
      <w:r>
        <w:rPr>
          <w:sz w:val="24"/>
          <w:szCs w:val="24"/>
        </w:rPr>
        <w:t>.</w:t>
      </w:r>
      <w:r w:rsidR="004B341E">
        <w:rPr>
          <w:sz w:val="24"/>
          <w:szCs w:val="24"/>
        </w:rPr>
        <w:t>544</w:t>
      </w:r>
      <w:r>
        <w:rPr>
          <w:sz w:val="24"/>
          <w:szCs w:val="24"/>
        </w:rPr>
        <w:t>,00kuna) i rashode za nabavu nefinancijske imovine (1.</w:t>
      </w:r>
      <w:r w:rsidR="004B341E">
        <w:rPr>
          <w:sz w:val="24"/>
          <w:szCs w:val="24"/>
        </w:rPr>
        <w:t>526</w:t>
      </w:r>
      <w:r>
        <w:rPr>
          <w:sz w:val="24"/>
          <w:szCs w:val="24"/>
        </w:rPr>
        <w:t>.</w:t>
      </w:r>
      <w:r w:rsidR="004B341E">
        <w:rPr>
          <w:sz w:val="24"/>
          <w:szCs w:val="24"/>
        </w:rPr>
        <w:t>000</w:t>
      </w:r>
      <w:r>
        <w:rPr>
          <w:sz w:val="24"/>
          <w:szCs w:val="24"/>
        </w:rPr>
        <w:t>,00 kuna).</w:t>
      </w:r>
    </w:p>
    <w:p w14:paraId="74131F47" w14:textId="77777777" w:rsidR="006C711E" w:rsidRDefault="006C711E" w:rsidP="006C711E">
      <w:pPr>
        <w:jc w:val="both"/>
        <w:rPr>
          <w:sz w:val="24"/>
          <w:szCs w:val="24"/>
        </w:rPr>
      </w:pPr>
    </w:p>
    <w:p w14:paraId="1CA3D5FD" w14:textId="77777777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>Rashode poslovanja čine:</w:t>
      </w:r>
    </w:p>
    <w:p w14:paraId="545513AA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Rashodi za zaposlene</w:t>
      </w:r>
    </w:p>
    <w:p w14:paraId="5EE048E8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Materijalni rashodi </w:t>
      </w:r>
    </w:p>
    <w:p w14:paraId="5D59D88D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Financijski rashodi</w:t>
      </w:r>
    </w:p>
    <w:p w14:paraId="5AD5851E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Subvencije</w:t>
      </w:r>
      <w:r>
        <w:rPr>
          <w:sz w:val="24"/>
          <w:szCs w:val="24"/>
        </w:rPr>
        <w:tab/>
      </w:r>
    </w:p>
    <w:p w14:paraId="4C60BF51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Pomoći dane u inozemstvo i unutar općeg proračuna</w:t>
      </w:r>
    </w:p>
    <w:p w14:paraId="36986416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-Naknade građanima i kućanstvima na temelju osiguranja i druge naknade</w:t>
      </w:r>
    </w:p>
    <w:p w14:paraId="0F447BC8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Ostali rashodi</w:t>
      </w:r>
    </w:p>
    <w:p w14:paraId="514D6EB0" w14:textId="37297A76" w:rsidR="006C711E" w:rsidRDefault="006C711E" w:rsidP="006C71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Rashodi za nabavu nefinancijske imovine  u ukupnom iznosu od 1.062.555,00 kuna čine  rashodi :</w:t>
      </w:r>
    </w:p>
    <w:p w14:paraId="229C3745" w14:textId="77777777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Rashodi za izgradnju građevinskih objekata</w:t>
      </w:r>
    </w:p>
    <w:p w14:paraId="119EEC8D" w14:textId="6B8D56B0" w:rsidR="006C711E" w:rsidRDefault="006C711E" w:rsidP="006C711E">
      <w:pPr>
        <w:pStyle w:val="Odlomakpopis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Rashodi za nabavku postrojenja i opreme</w:t>
      </w:r>
    </w:p>
    <w:p w14:paraId="28439706" w14:textId="36EB6B2A" w:rsidR="006C711E" w:rsidRDefault="006C711E" w:rsidP="006C711E">
      <w:pPr>
        <w:ind w:left="60"/>
        <w:jc w:val="both"/>
        <w:rPr>
          <w:sz w:val="24"/>
          <w:szCs w:val="24"/>
        </w:rPr>
      </w:pPr>
    </w:p>
    <w:p w14:paraId="007AF68A" w14:textId="05F2E349" w:rsidR="006C711E" w:rsidRDefault="00296CBD" w:rsidP="006C711E">
      <w:pPr>
        <w:ind w:left="6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0EE7C8B" wp14:editId="469F33F7">
            <wp:extent cx="8305800" cy="4486275"/>
            <wp:effectExtent l="0" t="0" r="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2061DB1" w14:textId="4FADF5A7" w:rsidR="00DA3A8E" w:rsidRDefault="00DA3A8E" w:rsidP="006C711E">
      <w:pPr>
        <w:ind w:left="60"/>
        <w:jc w:val="both"/>
        <w:rPr>
          <w:sz w:val="24"/>
          <w:szCs w:val="24"/>
        </w:rPr>
      </w:pPr>
    </w:p>
    <w:p w14:paraId="5FB5E627" w14:textId="1840EA61" w:rsidR="00DA3A8E" w:rsidRPr="00B439EA" w:rsidRDefault="00DA3A8E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Plaće (bruto )                                                     </w:t>
      </w:r>
      <w:r w:rsidR="00B439EA">
        <w:rPr>
          <w:b/>
          <w:bCs/>
          <w:sz w:val="24"/>
          <w:szCs w:val="24"/>
        </w:rPr>
        <w:t xml:space="preserve">                        </w:t>
      </w:r>
      <w:r w:rsidRPr="00B439EA">
        <w:rPr>
          <w:b/>
          <w:bCs/>
          <w:sz w:val="24"/>
          <w:szCs w:val="24"/>
        </w:rPr>
        <w:t xml:space="preserve"> 2.854.555,00  </w:t>
      </w:r>
    </w:p>
    <w:p w14:paraId="14EE3FAB" w14:textId="7CC185A4" w:rsidR="00DA3A8E" w:rsidRPr="00B439EA" w:rsidRDefault="00DA3A8E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Ostali rashodi za zaposlene                                </w:t>
      </w:r>
      <w:r w:rsidR="00B439EA">
        <w:rPr>
          <w:b/>
          <w:bCs/>
          <w:sz w:val="24"/>
          <w:szCs w:val="24"/>
        </w:rPr>
        <w:t xml:space="preserve">                       </w:t>
      </w:r>
      <w:r w:rsidRPr="00B439EA">
        <w:rPr>
          <w:b/>
          <w:bCs/>
          <w:sz w:val="24"/>
          <w:szCs w:val="24"/>
        </w:rPr>
        <w:t xml:space="preserve"> 211.900,00</w:t>
      </w:r>
    </w:p>
    <w:p w14:paraId="46E471EF" w14:textId="79692C52" w:rsidR="00DA3A8E" w:rsidRPr="00B439EA" w:rsidRDefault="00DA3A8E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Doprinosi na plaće                                         </w:t>
      </w:r>
      <w:r w:rsidR="00B439EA">
        <w:rPr>
          <w:b/>
          <w:bCs/>
          <w:sz w:val="24"/>
          <w:szCs w:val="24"/>
        </w:rPr>
        <w:t xml:space="preserve">                              </w:t>
      </w:r>
      <w:r w:rsidRPr="00B439EA">
        <w:rPr>
          <w:b/>
          <w:bCs/>
          <w:sz w:val="24"/>
          <w:szCs w:val="24"/>
        </w:rPr>
        <w:t>474.207,00</w:t>
      </w:r>
    </w:p>
    <w:p w14:paraId="3F6EED4A" w14:textId="05EA537C" w:rsidR="00DA3A8E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lastRenderedPageBreak/>
        <w:t xml:space="preserve">Naknade troškova zaposlenima       </w:t>
      </w:r>
      <w:r>
        <w:rPr>
          <w:b/>
          <w:bCs/>
          <w:sz w:val="24"/>
          <w:szCs w:val="24"/>
        </w:rPr>
        <w:t xml:space="preserve">                                          </w:t>
      </w:r>
      <w:r w:rsidRPr="00B439EA">
        <w:rPr>
          <w:b/>
          <w:bCs/>
          <w:sz w:val="24"/>
          <w:szCs w:val="24"/>
        </w:rPr>
        <w:t>213.433,00</w:t>
      </w:r>
    </w:p>
    <w:p w14:paraId="6168A766" w14:textId="50FCF67E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Rashodi za materijal i energiju         </w:t>
      </w:r>
      <w:r>
        <w:rPr>
          <w:b/>
          <w:bCs/>
          <w:sz w:val="24"/>
          <w:szCs w:val="24"/>
        </w:rPr>
        <w:t xml:space="preserve">                                          </w:t>
      </w:r>
      <w:r w:rsidRPr="00B439EA">
        <w:rPr>
          <w:b/>
          <w:bCs/>
          <w:sz w:val="24"/>
          <w:szCs w:val="24"/>
        </w:rPr>
        <w:t>748.753,00</w:t>
      </w:r>
    </w:p>
    <w:p w14:paraId="0E8FE324" w14:textId="0EAD011D" w:rsidR="00B439EA" w:rsidRPr="00B439EA" w:rsidRDefault="00B439EA" w:rsidP="004B34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Rashodi za usluge   </w:t>
      </w:r>
      <w:r>
        <w:rPr>
          <w:b/>
          <w:bCs/>
          <w:sz w:val="24"/>
          <w:szCs w:val="24"/>
        </w:rPr>
        <w:t xml:space="preserve">                                                                 </w:t>
      </w:r>
      <w:r w:rsidRPr="00B439EA">
        <w:rPr>
          <w:b/>
          <w:bCs/>
          <w:sz w:val="24"/>
          <w:szCs w:val="24"/>
        </w:rPr>
        <w:t>11.</w:t>
      </w:r>
      <w:r w:rsidR="004B341E">
        <w:rPr>
          <w:b/>
          <w:bCs/>
          <w:sz w:val="24"/>
          <w:szCs w:val="24"/>
        </w:rPr>
        <w:t>168</w:t>
      </w:r>
      <w:r w:rsidRPr="00B439EA">
        <w:rPr>
          <w:b/>
          <w:bCs/>
          <w:sz w:val="24"/>
          <w:szCs w:val="24"/>
        </w:rPr>
        <w:t>.</w:t>
      </w:r>
      <w:r w:rsidR="004B341E">
        <w:rPr>
          <w:b/>
          <w:bCs/>
          <w:sz w:val="24"/>
          <w:szCs w:val="24"/>
        </w:rPr>
        <w:t>196</w:t>
      </w:r>
      <w:r w:rsidRPr="00B439EA">
        <w:rPr>
          <w:b/>
          <w:bCs/>
          <w:sz w:val="24"/>
          <w:szCs w:val="24"/>
        </w:rPr>
        <w:t>,00</w:t>
      </w:r>
    </w:p>
    <w:p w14:paraId="4EA10760" w14:textId="7D32127D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>Naknade troškova osobama izvan radnog odnosa</w:t>
      </w:r>
      <w:r>
        <w:rPr>
          <w:b/>
          <w:bCs/>
          <w:sz w:val="24"/>
          <w:szCs w:val="24"/>
        </w:rPr>
        <w:t xml:space="preserve">                   </w:t>
      </w:r>
      <w:r w:rsidRPr="00B439EA">
        <w:rPr>
          <w:b/>
          <w:bCs/>
          <w:sz w:val="24"/>
          <w:szCs w:val="24"/>
        </w:rPr>
        <w:t xml:space="preserve"> 5.000,00</w:t>
      </w:r>
    </w:p>
    <w:p w14:paraId="098D7412" w14:textId="7AC28B2B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Ostali nespomenuti rashodi poslovanja </w:t>
      </w:r>
      <w:r>
        <w:rPr>
          <w:b/>
          <w:bCs/>
          <w:sz w:val="24"/>
          <w:szCs w:val="24"/>
        </w:rPr>
        <w:t xml:space="preserve">                                </w:t>
      </w:r>
      <w:r w:rsidRPr="00B439EA">
        <w:rPr>
          <w:b/>
          <w:bCs/>
          <w:sz w:val="24"/>
          <w:szCs w:val="24"/>
        </w:rPr>
        <w:t xml:space="preserve"> 328.870,00</w:t>
      </w:r>
    </w:p>
    <w:p w14:paraId="3F2BB0B8" w14:textId="51315BF9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Financijski rashodi </w:t>
      </w: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B439EA">
        <w:rPr>
          <w:b/>
          <w:bCs/>
          <w:sz w:val="24"/>
          <w:szCs w:val="24"/>
        </w:rPr>
        <w:t xml:space="preserve"> 69.600,00</w:t>
      </w:r>
    </w:p>
    <w:p w14:paraId="2B26748E" w14:textId="13B7B145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Subvencije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B439EA">
        <w:rPr>
          <w:b/>
          <w:bCs/>
          <w:sz w:val="24"/>
          <w:szCs w:val="24"/>
        </w:rPr>
        <w:t>15.000,00</w:t>
      </w:r>
    </w:p>
    <w:p w14:paraId="68933F16" w14:textId="2FAB8184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Pomoći unutar općeg proračuna </w:t>
      </w:r>
      <w:r>
        <w:rPr>
          <w:b/>
          <w:bCs/>
          <w:sz w:val="24"/>
          <w:szCs w:val="24"/>
        </w:rPr>
        <w:t xml:space="preserve">                                                </w:t>
      </w:r>
      <w:r w:rsidRPr="00B439EA">
        <w:rPr>
          <w:b/>
          <w:bCs/>
          <w:sz w:val="24"/>
          <w:szCs w:val="24"/>
        </w:rPr>
        <w:t>95.000,00</w:t>
      </w:r>
    </w:p>
    <w:p w14:paraId="5B25782F" w14:textId="369CACA0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Ostale naknade građanima i kućanstvima </w:t>
      </w:r>
      <w:r>
        <w:rPr>
          <w:b/>
          <w:bCs/>
          <w:sz w:val="24"/>
          <w:szCs w:val="24"/>
        </w:rPr>
        <w:t xml:space="preserve">                             </w:t>
      </w:r>
      <w:r w:rsidRPr="00B439EA">
        <w:rPr>
          <w:b/>
          <w:bCs/>
          <w:sz w:val="24"/>
          <w:szCs w:val="24"/>
        </w:rPr>
        <w:t>426.250,00</w:t>
      </w:r>
    </w:p>
    <w:p w14:paraId="762B0508" w14:textId="2387342A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Tekuće donacije </w:t>
      </w:r>
      <w:r>
        <w:rPr>
          <w:b/>
          <w:bCs/>
          <w:sz w:val="24"/>
          <w:szCs w:val="24"/>
        </w:rPr>
        <w:t xml:space="preserve">                                                                           </w:t>
      </w:r>
      <w:r w:rsidRPr="00B439EA">
        <w:rPr>
          <w:b/>
          <w:bCs/>
          <w:sz w:val="24"/>
          <w:szCs w:val="24"/>
        </w:rPr>
        <w:t>6</w:t>
      </w:r>
      <w:r w:rsidR="004B341E">
        <w:rPr>
          <w:b/>
          <w:bCs/>
          <w:sz w:val="24"/>
          <w:szCs w:val="24"/>
        </w:rPr>
        <w:t>35</w:t>
      </w:r>
      <w:r w:rsidRPr="00B439EA">
        <w:rPr>
          <w:b/>
          <w:bCs/>
          <w:sz w:val="24"/>
          <w:szCs w:val="24"/>
        </w:rPr>
        <w:t>.780,00</w:t>
      </w:r>
    </w:p>
    <w:p w14:paraId="1FA6E9A3" w14:textId="12E12134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>Kapitalne donacije</w:t>
      </w:r>
      <w:r>
        <w:rPr>
          <w:b/>
          <w:bCs/>
          <w:sz w:val="24"/>
          <w:szCs w:val="24"/>
        </w:rPr>
        <w:t xml:space="preserve">                                                                      </w:t>
      </w:r>
      <w:r w:rsidRPr="00B439EA">
        <w:rPr>
          <w:b/>
          <w:bCs/>
          <w:sz w:val="24"/>
          <w:szCs w:val="24"/>
        </w:rPr>
        <w:t xml:space="preserve"> 200.000,00</w:t>
      </w:r>
    </w:p>
    <w:p w14:paraId="70A2D50D" w14:textId="74BC040A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Kapitalne pomoći </w:t>
      </w:r>
      <w:r>
        <w:rPr>
          <w:b/>
          <w:bCs/>
          <w:sz w:val="24"/>
          <w:szCs w:val="24"/>
        </w:rPr>
        <w:t xml:space="preserve">                                                                        </w:t>
      </w:r>
      <w:r w:rsidRPr="00B439EA">
        <w:rPr>
          <w:b/>
          <w:bCs/>
          <w:sz w:val="24"/>
          <w:szCs w:val="24"/>
        </w:rPr>
        <w:t>500.000,00</w:t>
      </w:r>
    </w:p>
    <w:p w14:paraId="3DF806DB" w14:textId="3DD6BEBA" w:rsidR="00B439EA" w:rsidRP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>Građevinski objekti</w:t>
      </w: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Pr="00B439EA">
        <w:rPr>
          <w:b/>
          <w:bCs/>
          <w:sz w:val="24"/>
          <w:szCs w:val="24"/>
        </w:rPr>
        <w:t xml:space="preserve"> </w:t>
      </w:r>
      <w:r w:rsidR="00E856B4">
        <w:rPr>
          <w:b/>
          <w:bCs/>
          <w:sz w:val="24"/>
          <w:szCs w:val="24"/>
        </w:rPr>
        <w:t>655</w:t>
      </w:r>
      <w:r w:rsidRPr="00B439EA">
        <w:rPr>
          <w:b/>
          <w:bCs/>
          <w:sz w:val="24"/>
          <w:szCs w:val="24"/>
        </w:rPr>
        <w:t>.</w:t>
      </w:r>
      <w:r w:rsidR="00D233B0">
        <w:rPr>
          <w:b/>
          <w:bCs/>
          <w:sz w:val="24"/>
          <w:szCs w:val="24"/>
        </w:rPr>
        <w:t>000</w:t>
      </w:r>
      <w:r w:rsidRPr="00B439EA">
        <w:rPr>
          <w:b/>
          <w:bCs/>
          <w:sz w:val="24"/>
          <w:szCs w:val="24"/>
        </w:rPr>
        <w:t>,00</w:t>
      </w:r>
    </w:p>
    <w:p w14:paraId="3FCCE99D" w14:textId="0DE090D7" w:rsidR="00B439EA" w:rsidRDefault="00B439EA" w:rsidP="006C711E">
      <w:pPr>
        <w:ind w:left="60"/>
        <w:jc w:val="both"/>
        <w:rPr>
          <w:b/>
          <w:bCs/>
          <w:sz w:val="24"/>
          <w:szCs w:val="24"/>
        </w:rPr>
      </w:pPr>
      <w:r w:rsidRPr="00B439EA">
        <w:rPr>
          <w:b/>
          <w:bCs/>
          <w:sz w:val="24"/>
          <w:szCs w:val="24"/>
        </w:rPr>
        <w:t xml:space="preserve">Postrojenja i oprema </w:t>
      </w:r>
      <w:r>
        <w:rPr>
          <w:b/>
          <w:bCs/>
          <w:sz w:val="24"/>
          <w:szCs w:val="24"/>
        </w:rPr>
        <w:t xml:space="preserve">                                                                  </w:t>
      </w:r>
      <w:r w:rsidRPr="00B439EA">
        <w:rPr>
          <w:b/>
          <w:bCs/>
          <w:sz w:val="24"/>
          <w:szCs w:val="24"/>
        </w:rPr>
        <w:t>8</w:t>
      </w:r>
      <w:r w:rsidR="00E856B4">
        <w:rPr>
          <w:b/>
          <w:bCs/>
          <w:sz w:val="24"/>
          <w:szCs w:val="24"/>
        </w:rPr>
        <w:t>71</w:t>
      </w:r>
      <w:r w:rsidRPr="00B439EA">
        <w:rPr>
          <w:b/>
          <w:bCs/>
          <w:sz w:val="24"/>
          <w:szCs w:val="24"/>
        </w:rPr>
        <w:t>.000,00</w:t>
      </w:r>
    </w:p>
    <w:p w14:paraId="7D45388C" w14:textId="63973C48" w:rsidR="00597F96" w:rsidRDefault="00597F96" w:rsidP="006C711E">
      <w:pPr>
        <w:ind w:left="60"/>
        <w:jc w:val="both"/>
        <w:rPr>
          <w:b/>
          <w:bCs/>
          <w:sz w:val="24"/>
          <w:szCs w:val="24"/>
        </w:rPr>
      </w:pPr>
    </w:p>
    <w:p w14:paraId="3BF085E0" w14:textId="0B5FA373" w:rsidR="00597F96" w:rsidRPr="00597F96" w:rsidRDefault="00597F96" w:rsidP="006C711E">
      <w:pPr>
        <w:ind w:left="60"/>
        <w:jc w:val="both"/>
        <w:rPr>
          <w:b/>
          <w:bCs/>
          <w:sz w:val="28"/>
          <w:szCs w:val="28"/>
        </w:rPr>
      </w:pPr>
      <w:r w:rsidRPr="00597F96">
        <w:rPr>
          <w:b/>
          <w:bCs/>
          <w:sz w:val="28"/>
          <w:szCs w:val="28"/>
          <w:highlight w:val="lightGray"/>
        </w:rPr>
        <w:t>UKUPNO:                                                                  1</w:t>
      </w:r>
      <w:r w:rsidR="00E856B4">
        <w:rPr>
          <w:b/>
          <w:bCs/>
          <w:sz w:val="28"/>
          <w:szCs w:val="28"/>
          <w:highlight w:val="lightGray"/>
        </w:rPr>
        <w:t>9</w:t>
      </w:r>
      <w:r w:rsidRPr="00597F96">
        <w:rPr>
          <w:b/>
          <w:bCs/>
          <w:sz w:val="28"/>
          <w:szCs w:val="28"/>
          <w:highlight w:val="lightGray"/>
        </w:rPr>
        <w:t>.</w:t>
      </w:r>
      <w:r w:rsidR="00E856B4">
        <w:rPr>
          <w:b/>
          <w:bCs/>
          <w:sz w:val="28"/>
          <w:szCs w:val="28"/>
          <w:highlight w:val="lightGray"/>
        </w:rPr>
        <w:t>472</w:t>
      </w:r>
      <w:r w:rsidRPr="00597F96">
        <w:rPr>
          <w:b/>
          <w:bCs/>
          <w:sz w:val="28"/>
          <w:szCs w:val="28"/>
          <w:highlight w:val="lightGray"/>
        </w:rPr>
        <w:t>,</w:t>
      </w:r>
      <w:r w:rsidR="00E856B4">
        <w:rPr>
          <w:b/>
          <w:bCs/>
          <w:sz w:val="28"/>
          <w:szCs w:val="28"/>
          <w:highlight w:val="lightGray"/>
        </w:rPr>
        <w:t>544</w:t>
      </w:r>
      <w:r w:rsidRPr="00597F96">
        <w:rPr>
          <w:b/>
          <w:bCs/>
          <w:sz w:val="28"/>
          <w:szCs w:val="28"/>
          <w:highlight w:val="lightGray"/>
        </w:rPr>
        <w:t>,00</w:t>
      </w:r>
    </w:p>
    <w:p w14:paraId="67D52BA3" w14:textId="77777777" w:rsidR="00B439EA" w:rsidRDefault="00B439EA" w:rsidP="006C711E">
      <w:pPr>
        <w:ind w:left="60"/>
        <w:jc w:val="both"/>
        <w:rPr>
          <w:sz w:val="24"/>
          <w:szCs w:val="24"/>
        </w:rPr>
      </w:pPr>
    </w:p>
    <w:p w14:paraId="57B196D2" w14:textId="2C70AC39" w:rsidR="00DA3A8E" w:rsidRDefault="00DA3A8E" w:rsidP="006C711E">
      <w:pPr>
        <w:ind w:left="60"/>
        <w:jc w:val="both"/>
        <w:rPr>
          <w:sz w:val="24"/>
          <w:szCs w:val="24"/>
        </w:rPr>
      </w:pPr>
    </w:p>
    <w:p w14:paraId="798BD381" w14:textId="649960E5" w:rsidR="00DA3A8E" w:rsidRDefault="00DA3A8E" w:rsidP="006C711E">
      <w:pPr>
        <w:ind w:left="60"/>
        <w:jc w:val="both"/>
        <w:rPr>
          <w:sz w:val="24"/>
          <w:szCs w:val="24"/>
        </w:rPr>
      </w:pPr>
    </w:p>
    <w:p w14:paraId="140C9A6C" w14:textId="1B8C9051" w:rsidR="00597F96" w:rsidRDefault="00373369" w:rsidP="00373369">
      <w:pPr>
        <w:pStyle w:val="Odlomakpopisa"/>
        <w:numPr>
          <w:ilvl w:val="0"/>
          <w:numId w:val="1"/>
        </w:numPr>
        <w:rPr>
          <w:b/>
          <w:bCs/>
          <w:sz w:val="28"/>
          <w:szCs w:val="28"/>
        </w:rPr>
      </w:pPr>
      <w:r w:rsidRPr="00373369">
        <w:rPr>
          <w:b/>
          <w:bCs/>
          <w:sz w:val="28"/>
          <w:szCs w:val="28"/>
        </w:rPr>
        <w:lastRenderedPageBreak/>
        <w:t>POSEBNI DIO</w:t>
      </w:r>
    </w:p>
    <w:p w14:paraId="7A89234D" w14:textId="77777777" w:rsidR="00244389" w:rsidRDefault="00244389" w:rsidP="00244389">
      <w:pPr>
        <w:pStyle w:val="Odlomakpopisa"/>
        <w:rPr>
          <w:b/>
          <w:bCs/>
          <w:sz w:val="28"/>
          <w:szCs w:val="28"/>
        </w:rPr>
      </w:pPr>
    </w:p>
    <w:p w14:paraId="407B6CD7" w14:textId="0E1724E9" w:rsidR="00244389" w:rsidRPr="00244389" w:rsidRDefault="00244389" w:rsidP="00244389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Posebni dio proračuna za 2022. godinu sadrži zakonsku osnovu, ciljeve, pokazatelje uspješnosti povezane s programskom klasifikacijom.</w:t>
      </w:r>
    </w:p>
    <w:tbl>
      <w:tblPr>
        <w:tblW w:w="737" w:type="dxa"/>
        <w:tblLook w:val="04A0" w:firstRow="1" w:lastRow="0" w:firstColumn="1" w:lastColumn="0" w:noHBand="0" w:noVBand="1"/>
      </w:tblPr>
      <w:tblGrid>
        <w:gridCol w:w="266"/>
        <w:gridCol w:w="249"/>
        <w:gridCol w:w="222"/>
      </w:tblGrid>
      <w:tr w:rsidR="002C7EF4" w:rsidRPr="002C7EF4" w14:paraId="0CADA0C3" w14:textId="77777777" w:rsidTr="00406DED">
        <w:trPr>
          <w:trHeight w:val="273"/>
        </w:trPr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2684B3B" w14:textId="328420E0" w:rsidR="002C7EF4" w:rsidRPr="002C7EF4" w:rsidRDefault="002C7EF4" w:rsidP="002C7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1AD599" w14:textId="718D4AC4" w:rsidR="002C7EF4" w:rsidRPr="002C7EF4" w:rsidRDefault="002C7EF4" w:rsidP="002C7E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812D25" w14:textId="4DB9F232" w:rsidR="002C7EF4" w:rsidRPr="002C7EF4" w:rsidRDefault="002C7EF4" w:rsidP="002C7E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2C7EF4" w:rsidRPr="002C7EF4" w14:paraId="5B3307F7" w14:textId="77777777" w:rsidTr="00406DED">
        <w:trPr>
          <w:trHeight w:val="273"/>
        </w:trPr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D14C7" w14:textId="77777777" w:rsidR="002C7EF4" w:rsidRPr="002C7EF4" w:rsidRDefault="002C7EF4" w:rsidP="002C7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E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13227C" w14:textId="716581F0" w:rsidR="002C7EF4" w:rsidRPr="002C7EF4" w:rsidRDefault="002C7EF4" w:rsidP="002C7E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1EC330" w14:textId="547A42E7" w:rsidR="002C7EF4" w:rsidRPr="002C7EF4" w:rsidRDefault="002C7EF4" w:rsidP="002C7E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406DED" w:rsidRPr="002C7EF4" w14:paraId="019C5D50" w14:textId="77777777" w:rsidTr="00406DED">
        <w:trPr>
          <w:trHeight w:val="273"/>
        </w:trPr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692A4F" w14:textId="77777777" w:rsidR="00406DED" w:rsidRPr="002C7EF4" w:rsidRDefault="00406DED" w:rsidP="002C7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88D9CF" w14:textId="5D490A80" w:rsidR="00406DED" w:rsidRPr="002C7EF4" w:rsidRDefault="00406DED" w:rsidP="002C7E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          </w:t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18D47C" w14:textId="77777777" w:rsidR="00406DED" w:rsidRPr="002C7EF4" w:rsidRDefault="00406DED" w:rsidP="002C7EF4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0B6804" w:rsidRPr="002C7EF4" w14:paraId="2EE966AD" w14:textId="77777777" w:rsidTr="00406DED">
        <w:trPr>
          <w:gridAfter w:val="2"/>
          <w:wAfter w:w="724" w:type="dxa"/>
          <w:trHeight w:val="273"/>
        </w:trPr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C56E90" w14:textId="77777777" w:rsidR="000B6804" w:rsidRPr="002C7EF4" w:rsidRDefault="000B6804" w:rsidP="002C7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C7E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2BDDB3FD" w14:textId="77777777" w:rsidR="00406DED" w:rsidRPr="00373369" w:rsidRDefault="00406DED" w:rsidP="003733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14020" w:type="dxa"/>
        <w:tblLook w:val="04A0" w:firstRow="1" w:lastRow="0" w:firstColumn="1" w:lastColumn="0" w:noHBand="0" w:noVBand="1"/>
      </w:tblPr>
      <w:tblGrid>
        <w:gridCol w:w="1551"/>
        <w:gridCol w:w="515"/>
        <w:gridCol w:w="1718"/>
        <w:gridCol w:w="624"/>
        <w:gridCol w:w="2120"/>
        <w:gridCol w:w="2120"/>
        <w:gridCol w:w="1622"/>
        <w:gridCol w:w="1142"/>
        <w:gridCol w:w="624"/>
        <w:gridCol w:w="266"/>
        <w:gridCol w:w="500"/>
        <w:gridCol w:w="266"/>
        <w:gridCol w:w="952"/>
      </w:tblGrid>
      <w:tr w:rsidR="00406DED" w:rsidRPr="00406DED" w14:paraId="7830F4D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34EC62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001  OPĆINSKO VIJEĆE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3015A15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48DA425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175.078,00</w:t>
            </w:r>
          </w:p>
        </w:tc>
      </w:tr>
      <w:tr w:rsidR="00406DED" w:rsidRPr="00406DED" w14:paraId="13E887A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092E2DD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001       01  OPĆINSKO VIJEĆE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4BA107B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7BB2C2C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175.078,00</w:t>
            </w:r>
          </w:p>
        </w:tc>
      </w:tr>
      <w:tr w:rsidR="00406DED" w:rsidRPr="00406DED" w14:paraId="112F9D95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5AA895F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08CFF9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0C3610C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175.078,00</w:t>
            </w:r>
          </w:p>
        </w:tc>
      </w:tr>
      <w:tr w:rsidR="00406DED" w:rsidRPr="00406DED" w14:paraId="258B36F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ABD226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1000  REDOVNA DJELATNOST OPĆINSKOG VIJEĆA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4DEFD3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9A4778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140.078,00</w:t>
            </w:r>
          </w:p>
        </w:tc>
      </w:tr>
      <w:tr w:rsidR="00406DED" w:rsidRPr="00406DED" w14:paraId="4AE58C58" w14:textId="77777777" w:rsidTr="00406DED">
        <w:trPr>
          <w:trHeight w:val="72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C853E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8C61F" w14:textId="77777777" w:rsidR="00406DED" w:rsidRPr="00406DED" w:rsidRDefault="00406DED" w:rsidP="00406DED">
            <w:pPr>
              <w:spacing w:after="24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lokalnoj i regionalnoj samoupravi, Zakon o Proračunu</w:t>
            </w:r>
          </w:p>
        </w:tc>
      </w:tr>
      <w:tr w:rsidR="00406DED" w:rsidRPr="00406DED" w14:paraId="0DA151A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45FA3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9BE4B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Ostvarenje ovih ciljeva provodit će se kroz aktivnosti vezane uz 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redovavne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izdatke vezane uz sam rad vijeća , obilježavanje tužnih obljetnica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isl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406DED" w:rsidRPr="00406DED" w14:paraId="482ED03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C6A7C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200A0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Učinkovito  organiziranje svih aktivnosti, usklađivanje rada sa zakonom</w:t>
            </w:r>
          </w:p>
        </w:tc>
      </w:tr>
      <w:tr w:rsidR="00406DED" w:rsidRPr="00406DED" w14:paraId="17A765E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5DEF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766FA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Transparentan rad kroz dostupnost mještanima tokom radnog vremena</w:t>
            </w:r>
          </w:p>
        </w:tc>
      </w:tr>
      <w:tr w:rsidR="00406DED" w:rsidRPr="00406DED" w14:paraId="5EBCDA4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FCA31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0952D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zadataka iz nadležnosti</w:t>
            </w:r>
          </w:p>
        </w:tc>
      </w:tr>
      <w:tr w:rsidR="00406DED" w:rsidRPr="00406DED" w14:paraId="1824DFD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E0DADB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1000A100001  OPĆI RASHODI  PREDSTAVNIČKOG TIJELA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DCEA8A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29516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133.700,00</w:t>
            </w:r>
          </w:p>
        </w:tc>
      </w:tr>
      <w:tr w:rsidR="00406DED" w:rsidRPr="00406DED" w14:paraId="1394926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AC2BD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1000A100002  LOKALNA AKCIJSKA GRUPA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D1BF20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4203B6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4.378,00</w:t>
            </w:r>
          </w:p>
        </w:tc>
      </w:tr>
      <w:tr w:rsidR="00406DED" w:rsidRPr="00406DED" w14:paraId="49D9E635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5C0355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1000A100003  OBILJEŽAVANJE DRŽAVNIH BLAGDANA I SJEĆANJA NA TUŽNE OBLJETNICE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9CACA2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3BA36E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406DED" w:rsidRPr="00406DED" w14:paraId="16C0E4E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7615D7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1000A100004  DAN OPĆINE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D4A77E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CE6366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2B98F4D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11A5E9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1000T100005  LOKALNI IZBORI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AAA2A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C3014C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6995CD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5F50BC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1001  VIJEĆE MAĐARSKE NACIONALNE MANJINE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4D1DC4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1FCB43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406DED" w:rsidRPr="00406DED" w14:paraId="064BCE1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8BA84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C3958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nacionalnim manjinama, Zakon o Proračunu</w:t>
            </w:r>
          </w:p>
        </w:tc>
      </w:tr>
      <w:tr w:rsidR="00406DED" w:rsidRPr="00406DED" w14:paraId="292AF02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2EC3E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1DD2C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Ciljevi se ostvaruju kroz rashode vezane za rad VMNM, njegovanje običaja i kulture te kroz susrete naselja u Republici Mađarskoj</w:t>
            </w:r>
          </w:p>
        </w:tc>
      </w:tr>
      <w:tr w:rsidR="00406DED" w:rsidRPr="00406DED" w14:paraId="68325577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4D0C2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7D5C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Njegovanje jezika i kulture</w:t>
            </w:r>
          </w:p>
        </w:tc>
      </w:tr>
      <w:tr w:rsidR="00406DED" w:rsidRPr="00406DED" w14:paraId="7EF64FA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5AC6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3635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3390180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B889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42D0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Zadovoljstvo građana zbog omogućenog njegovanja materinjeg jezika i kulture kroz vijeća nacionalnih manjina</w:t>
            </w:r>
          </w:p>
        </w:tc>
      </w:tr>
      <w:tr w:rsidR="00406DED" w:rsidRPr="00406DED" w14:paraId="77FECEFB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9F7482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1001A100001  OPĆI RASHODI VMNM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E98823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C88E1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23.800,00</w:t>
            </w:r>
          </w:p>
        </w:tc>
      </w:tr>
      <w:tr w:rsidR="00406DED" w:rsidRPr="00406DED" w14:paraId="7012771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5764D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1001A100002  NJEGOVANJA MAĐARSKE KULTURE I OBIČAJA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4C4C7C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C31DDB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11.200,00</w:t>
            </w:r>
          </w:p>
        </w:tc>
      </w:tr>
      <w:tr w:rsidR="00406DED" w:rsidRPr="00406DED" w14:paraId="48F8BA6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F6F722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1001A100003  RAZMJENA ŠKOLSKE DJECE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7A9F5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3F219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5C3636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913063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1001A100005  25. SUSRETI NASELJA SZENTLASZLO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9E3145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78F768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525237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CA178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1001T100004  IZBORI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F5621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2C11A9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7A3278E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CCD55B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1002  IZRADA PLANSKE DOKUMENTACIJE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C5DC85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4DA6A7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D7E3684" w14:textId="77777777" w:rsidTr="00406DED">
        <w:trPr>
          <w:trHeight w:val="25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54CF2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C86B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E8786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5F555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AC41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1E1D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1475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7A15A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9E04C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2A475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EE66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9366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8465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D60C63E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FE3C6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6B54A186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A1E52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E1F97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B34D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96552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D6C2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9A88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02C63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7A286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CF91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DDDD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7CD85BCE" w14:textId="77777777" w:rsidTr="00406DED">
        <w:trPr>
          <w:trHeight w:val="7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58DC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C43E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25315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269D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410E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099B6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9A9ED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BBC2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FED4A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31D1E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D873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8569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2DC48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65E62094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6F0F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96E26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8B63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2BD7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5C1AB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7A6C3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69CF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0FF2B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01C0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A0B49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D534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B0DB1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D26E8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56170D30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7CC62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B823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4F57F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E6C6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29FA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73FF3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12E59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FF321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2755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BD57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9B1D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B85CF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47EF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6C74E1D" w14:textId="77777777" w:rsidTr="00406DED">
        <w:trPr>
          <w:trHeight w:val="27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61CD4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C99F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7AB68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B8215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311F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42B8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5F5B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03F0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5DD4D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A2C6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5E9B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2324B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3314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1B322EF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C5AA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FF2B7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5B14907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3FC9C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D15F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7D94B237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4B5B5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FC3BF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830287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5D91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E75EE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7FBF930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E578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C14D4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07578F5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3798B9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1002A100001  IZRADA STRATEŠKOG RAZVOJNOG PROGRAMA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ED752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8B51E4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54D4C1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521E42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1002A100002  OSTALA PLANSKO-PROJEKTNA DOKUMENTACIJA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039875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A0963F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E242875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C889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C0BCD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19F9A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B11D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882A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A26A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A903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6A7D5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58699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D8D6D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8083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12D8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D842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585251D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2C30EB3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002  OPĆINSKI NAČELNIK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6BBD8216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60347AA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12.829.148,00</w:t>
            </w:r>
          </w:p>
        </w:tc>
      </w:tr>
      <w:tr w:rsidR="00406DED" w:rsidRPr="00406DED" w14:paraId="61A1811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691A00D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002       01  OPĆINSKI NAČELNIK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259F153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62FEBCE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12.829.148,00</w:t>
            </w:r>
          </w:p>
        </w:tc>
      </w:tr>
      <w:tr w:rsidR="00406DED" w:rsidRPr="00406DED" w14:paraId="693B6FA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0BE16E4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624F578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8DCC9E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12.829.148,00</w:t>
            </w:r>
          </w:p>
        </w:tc>
      </w:tr>
      <w:tr w:rsidR="00406DED" w:rsidRPr="00406DED" w14:paraId="2B6DA95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8380CE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1002  IZRADA PLANSKE DOKUMENTACIJE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952BCB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61EECC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0FC0300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073B4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7A4BF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3B81CA5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FF16F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21ECB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75D9CAF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B6FF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3888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6E2AF90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BF51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06565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671F569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A189C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30066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674CE2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CE07C4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1002A100002  OSTALA PLANSKO-PROJEKTNA DOKUMENTACIJA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B0C515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298AEC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DD3268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A16405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1003  REDOVNA DJELATNOST IZVRŠNOG TIJELA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2AEC84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6455B7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549.960,00</w:t>
            </w:r>
          </w:p>
        </w:tc>
      </w:tr>
      <w:tr w:rsidR="00406DED" w:rsidRPr="00406DED" w14:paraId="062BBC9D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995E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9AE9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lokalnoj i regionalnoj samoupravi, Zakon o proračunu</w:t>
            </w:r>
          </w:p>
        </w:tc>
      </w:tr>
      <w:tr w:rsidR="00406DED" w:rsidRPr="00406DED" w14:paraId="7ABB631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EF79E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536F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Ostavivanje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ovih ciljeva provodit će se učinkovitom i ažurnim  vođenjem svih poslova</w:t>
            </w:r>
          </w:p>
        </w:tc>
      </w:tr>
      <w:tr w:rsidR="00406DED" w:rsidRPr="00406DED" w14:paraId="6CD1C80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5921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527EA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Učinkovito organiziranje svih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aktivnosti,osigurati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sredstva za redovno funkcioniranje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Općibe</w:t>
            </w:r>
            <w:proofErr w:type="spellEnd"/>
          </w:p>
        </w:tc>
      </w:tr>
      <w:tr w:rsidR="00406DED" w:rsidRPr="00406DED" w14:paraId="047B5CF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F2982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C4805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Ažurno i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kvaliteno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vođenje  svih poslova</w:t>
            </w:r>
          </w:p>
        </w:tc>
      </w:tr>
      <w:tr w:rsidR="00406DED" w:rsidRPr="00406DED" w14:paraId="4804C689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AA831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74D46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poslova iz nadležnosti</w:t>
            </w:r>
          </w:p>
        </w:tc>
      </w:tr>
      <w:tr w:rsidR="00406DED" w:rsidRPr="00406DED" w14:paraId="7A582DF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A41572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1003A100001  OPĆI RASHODI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7BA384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0E016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549.960,00</w:t>
            </w:r>
          </w:p>
        </w:tc>
      </w:tr>
      <w:tr w:rsidR="00406DED" w:rsidRPr="00406DED" w14:paraId="2D515FA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3E9735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1004  ZAŠTITA I SPAŠAVANJE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DFBADF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B4EE91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653.080,00</w:t>
            </w:r>
          </w:p>
        </w:tc>
      </w:tr>
      <w:tr w:rsidR="00406DED" w:rsidRPr="00406DED" w14:paraId="16CCCC7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CEDE3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F89F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312799CD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CC646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5346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Kroz protupožarnu i civilnu zaštitu te nabavkom opreme osigurati sigurno mjesto za život mještana</w:t>
            </w:r>
          </w:p>
        </w:tc>
      </w:tr>
      <w:tr w:rsidR="00406DED" w:rsidRPr="00406DED" w14:paraId="3A0F1ED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440D2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9C6D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Poboljšanje uvjeta za efikasnu protupožarnu, civilnu zaštitu</w:t>
            </w:r>
          </w:p>
        </w:tc>
      </w:tr>
      <w:tr w:rsidR="00406DED" w:rsidRPr="00406DED" w14:paraId="0949E3D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1F296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3FB3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mještanima sigurno  mjesto za življenje</w:t>
            </w:r>
          </w:p>
        </w:tc>
      </w:tr>
      <w:tr w:rsidR="00406DED" w:rsidRPr="00406DED" w14:paraId="7BD656C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B7A8E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72C9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Prijenos sredstava u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skaldu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sa zakonskom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regulativomn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te nabava opreme </w:t>
            </w:r>
          </w:p>
        </w:tc>
      </w:tr>
      <w:tr w:rsidR="00406DED" w:rsidRPr="00406DED" w14:paraId="6924BB72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CBD36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7AF33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D126B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670F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8F97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B7317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F2211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EB337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21144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2967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259E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E089B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1079F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19363FB1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37EAC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E3ED62F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361EA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42ACB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E9676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30188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AE66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D545E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E74B9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4CB5C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5804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773BD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6118AAE7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B9C5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8C80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FD23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70A85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F66D4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CA9FD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64038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E74F7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F8B4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DF0F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42F27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5D009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DA67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2359DCC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1412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0E2C5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C8135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BF07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4CD9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30C57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155B3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597B7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345D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A7A3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2F12D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F23C1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8E9F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77E7B4B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DF383D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1004A100001  PROTUPOŽARNA ZAŠTITA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16663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05C16E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223.080,00</w:t>
            </w:r>
          </w:p>
        </w:tc>
      </w:tr>
      <w:tr w:rsidR="00406DED" w:rsidRPr="00406DED" w14:paraId="0A3C01D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F0BF88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1004A100002  CIVILNA ZAŠTITA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49B08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B05027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406DED" w:rsidRPr="00406DED" w14:paraId="7AB15A1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B1E9B7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1004K100003  SIGURNA OPĆINA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40388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C60B6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335.000,00</w:t>
            </w:r>
          </w:p>
        </w:tc>
      </w:tr>
      <w:tr w:rsidR="00406DED" w:rsidRPr="00406DED" w14:paraId="213B35B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0DB24F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1005  PROMICANJE SPORTA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225D92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10829E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715.000,00</w:t>
            </w:r>
          </w:p>
        </w:tc>
      </w:tr>
      <w:tr w:rsidR="00406DED" w:rsidRPr="00406DED" w14:paraId="74CEDCF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878D6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9B5C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sportu</w:t>
            </w:r>
          </w:p>
        </w:tc>
      </w:tr>
      <w:tr w:rsidR="00406DED" w:rsidRPr="00406DED" w14:paraId="6CFDE6E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FFFBD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6D811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Kroz potpore sportskim udrugama i obnovama sportskih objekata osigurat će se navedeni ciljevi </w:t>
            </w:r>
          </w:p>
        </w:tc>
      </w:tr>
      <w:tr w:rsidR="00406DED" w:rsidRPr="00406DED" w14:paraId="494789C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F477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47DB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sportske djelatnosti</w:t>
            </w:r>
          </w:p>
        </w:tc>
      </w:tr>
      <w:tr w:rsidR="00406DED" w:rsidRPr="00406DED" w14:paraId="29C8C29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7D8F4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ED830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unapređenje kvalitete života, osiguranje uvjeta za bavljenje sportom</w:t>
            </w:r>
          </w:p>
        </w:tc>
      </w:tr>
      <w:tr w:rsidR="00406DED" w:rsidRPr="00406DED" w14:paraId="2043B9D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EF2C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148BC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Redovit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oodvijanje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programa sustava natjecanja, obuke djece i mladeži</w:t>
            </w:r>
          </w:p>
        </w:tc>
      </w:tr>
      <w:tr w:rsidR="00406DED" w:rsidRPr="00406DED" w14:paraId="75A7D96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3E72A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1005A100001  POTICANJE SPORTSKIH AKTIVNOSTI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3C17E4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16758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165.000,00</w:t>
            </w:r>
          </w:p>
        </w:tc>
      </w:tr>
      <w:tr w:rsidR="00406DED" w:rsidRPr="00406DED" w14:paraId="3B10039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4BBC4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1005A100002  OLIMPIJADA STARIH SPOROTOVA BROĐANCI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B81C4E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6ADF9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06851F6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0657A2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1005A100003  ODRŽAVANJE SPORTSKIH OBJEKATA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00B6DD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18215A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406DED" w:rsidRPr="00406DED" w14:paraId="3F821EB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1380D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1005K100004  IZGRADNJA OUTDOOR FITNESA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41EB8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F581D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270.000,00</w:t>
            </w:r>
          </w:p>
        </w:tc>
      </w:tr>
      <w:tr w:rsidR="00406DED" w:rsidRPr="00406DED" w14:paraId="3BA0919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DE152F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1005K100006  ENERGETSKA OBNOVA  ZGRADE NK LASLOVO 91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83954B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7452F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170.000,00</w:t>
            </w:r>
          </w:p>
        </w:tc>
      </w:tr>
      <w:tr w:rsidR="00406DED" w:rsidRPr="00406DED" w14:paraId="517B304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9FD69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1005T100005  UREĐENJE SPORTSKOG CENTRA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9D1B10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C81FAB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406DED" w:rsidRPr="00406DED" w14:paraId="4E7E120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DF7842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1006  PROMICANJE KULTURE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B94E79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A86552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234.200,00</w:t>
            </w:r>
          </w:p>
        </w:tc>
      </w:tr>
      <w:tr w:rsidR="00406DED" w:rsidRPr="00406DED" w14:paraId="1267B25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5CA3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AA901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 o financiranju javnih potreba u kulturi</w:t>
            </w:r>
          </w:p>
        </w:tc>
      </w:tr>
      <w:tr w:rsidR="00406DED" w:rsidRPr="00406DED" w14:paraId="43F6493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311BC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3844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Redovno financiranje udruga na polju kulture, održavanje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objeka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i održavanje manifestacija</w:t>
            </w:r>
          </w:p>
        </w:tc>
      </w:tr>
      <w:tr w:rsidR="00406DED" w:rsidRPr="00406DED" w14:paraId="019D267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4CB3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D56C0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kulturne djelatnosti</w:t>
            </w:r>
          </w:p>
        </w:tc>
      </w:tr>
      <w:tr w:rsidR="00406DED" w:rsidRPr="00406DED" w14:paraId="07B1395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D9CE1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C3416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Privući što više mladih u kulturno umjetnička društva, likovne i kiparske sekcije</w:t>
            </w:r>
          </w:p>
        </w:tc>
      </w:tr>
      <w:tr w:rsidR="00406DED" w:rsidRPr="00406DED" w14:paraId="1BFA9ACB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F0764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6A3E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Redovito financiranje udruga i manifestacija</w:t>
            </w:r>
          </w:p>
        </w:tc>
      </w:tr>
      <w:tr w:rsidR="00406DED" w:rsidRPr="00406DED" w14:paraId="5721250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8110C9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1006A100001  ODRŽAVANJE GALERIJE PETAR SMAJIĆ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1DC155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D8EB77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13.500,00</w:t>
            </w:r>
          </w:p>
        </w:tc>
      </w:tr>
      <w:tr w:rsidR="00406DED" w:rsidRPr="00406DED" w14:paraId="597C87AB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D972EE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1006A100002  ODRŽAVANJE KIPARSKE KOLONIJE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EE2856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8E205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150.700,00</w:t>
            </w:r>
          </w:p>
        </w:tc>
      </w:tr>
      <w:tr w:rsidR="00406DED" w:rsidRPr="00406DED" w14:paraId="2357454B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96D9CF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1006A100003  ODRŽAVANJE MALE KOLONIJE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D2A79A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189ED0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0FC3354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0A0B9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1006A100004  DANI LASLOVA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A6C625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0451C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406DED" w:rsidRPr="00406DED" w14:paraId="299DA8B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EDF149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1006A100005  POTICANJE KULTURNIH AKTIVNOSTI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F26E3F6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2044A2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53.000,00</w:t>
            </w:r>
          </w:p>
        </w:tc>
      </w:tr>
      <w:tr w:rsidR="00406DED" w:rsidRPr="00406DED" w14:paraId="5A7B746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5D3EC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1006A100006  KULTURA U CENTRU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43E462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415917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0EFF6C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D2C6C6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1007  ZDRAVSTVENA ZAŠTITA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C4789F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F851E8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117.000,00</w:t>
            </w:r>
          </w:p>
        </w:tc>
      </w:tr>
      <w:tr w:rsidR="00406DED" w:rsidRPr="00406DED" w14:paraId="5775423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C22A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2AA7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0043D03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79F56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C907F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Redovno financirati zakup poslovnog prostora, redovito provoditi mjere deratizacije i dezinfekcije</w:t>
            </w:r>
          </w:p>
        </w:tc>
      </w:tr>
      <w:tr w:rsidR="00406DED" w:rsidRPr="00406DED" w14:paraId="442DACD7" w14:textId="77777777" w:rsidTr="00406DED">
        <w:trPr>
          <w:trHeight w:val="19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96E7D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49804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CBAD4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C2D27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0BAA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D584F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59D71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9D30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491A0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780DC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47A1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BC50D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73B6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C1FAEEB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C7B3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152F17E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6413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0BEA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1E3D0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17BF6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7DE4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B6A17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5DD02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07A4F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514D9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9440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68D888AC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756C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8D3B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F72B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DFCE4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F8C8A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60F6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FA85E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EF45A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4F2E7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68A8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ED748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D037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9BAA1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DC14ACE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000C4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E482F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81494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E3D7F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E1160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1677E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2108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41462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2C9BE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66026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76EB3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A162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10EC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723147B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5F8F2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02CAF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Sufinanciranje zajedničkih troškova za korištenje poslovnih prostora, provođenje mjere deratizacije i dezinfekcije</w:t>
            </w:r>
          </w:p>
        </w:tc>
      </w:tr>
      <w:tr w:rsidR="00406DED" w:rsidRPr="00406DED" w14:paraId="2FA48F6D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9E79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5756A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mještanima što kvalitetniju zdravstvenu zaštitu</w:t>
            </w:r>
          </w:p>
        </w:tc>
      </w:tr>
      <w:tr w:rsidR="00406DED" w:rsidRPr="00406DED" w14:paraId="239985B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F100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5D42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podmirenje svih troškova vezanih uz osiguranje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zaravstvene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zaštite</w:t>
            </w:r>
          </w:p>
        </w:tc>
      </w:tr>
      <w:tr w:rsidR="00406DED" w:rsidRPr="00406DED" w14:paraId="5817BF2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AB55E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1007A100001  RAD ZDRAVSTVENE AMBULANTE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F0B875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854CBB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406DED" w:rsidRPr="00406DED" w14:paraId="7D41334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0E658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1007A100002  MJERE PROVOĐENJA ZDRAVSTVENE ZAŠTITE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D591A9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5E286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102.000,00</w:t>
            </w:r>
          </w:p>
        </w:tc>
      </w:tr>
      <w:tr w:rsidR="00406DED" w:rsidRPr="00406DED" w14:paraId="3F0FD45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958799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1008  OBRAZOVANJE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23C7CA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585F4D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260.500,00</w:t>
            </w:r>
          </w:p>
        </w:tc>
      </w:tr>
      <w:tr w:rsidR="00406DED" w:rsidRPr="00406DED" w14:paraId="1B67404D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51284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83FC0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369E3B37" w14:textId="77777777" w:rsidTr="00406DED">
        <w:trPr>
          <w:trHeight w:val="54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1A9B9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CF027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Ovi ciljevi ostvarit će se kroz financiranje mjesečnih karata za srednjoškolce i studente, nabavku knjiga i bilježnica te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stipediranje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 i nagrade za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najučenike</w:t>
            </w:r>
            <w:proofErr w:type="spellEnd"/>
          </w:p>
        </w:tc>
      </w:tr>
      <w:tr w:rsidR="00406DED" w:rsidRPr="00406DED" w14:paraId="38C19CE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52785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E030E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Poboljšanje uvjeta života ciljanih skupina </w:t>
            </w:r>
          </w:p>
        </w:tc>
      </w:tr>
      <w:tr w:rsidR="00406DED" w:rsidRPr="00406DED" w14:paraId="6AB4DCC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AE566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6E9D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Osigurati djeci osnovne škole  srednjoškolcima i studentima kvalitetnije školovanje</w:t>
            </w:r>
          </w:p>
        </w:tc>
      </w:tr>
      <w:tr w:rsidR="00406DED" w:rsidRPr="00406DED" w14:paraId="000C8FE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85AC2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B594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Broj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polanika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srednjih škola i studenata</w:t>
            </w:r>
          </w:p>
        </w:tc>
      </w:tr>
      <w:tr w:rsidR="00406DED" w:rsidRPr="00406DED" w14:paraId="190EC56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CF835C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1008A100001  ŠKOLSTVO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32FB7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3E6D1E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260.500,00</w:t>
            </w:r>
          </w:p>
        </w:tc>
      </w:tr>
      <w:tr w:rsidR="00406DED" w:rsidRPr="00406DED" w14:paraId="5E52353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B72B3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1008A100002  PREDŠKOLSKI ODGOJ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C0215C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709641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755868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D0CE9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1008T100003  OSNIVANJE USTANOVE ZA PREDŠKOLSKI ODGOJ  I JASLICA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F92F6A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40D8FE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19F476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716B02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1009  SOCIJALNA SKRB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C708A1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46F01A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95.750,00</w:t>
            </w:r>
          </w:p>
        </w:tc>
      </w:tr>
      <w:tr w:rsidR="00406DED" w:rsidRPr="00406DED" w14:paraId="33D659E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2E4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916B8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socijalnoj skrbi</w:t>
            </w:r>
          </w:p>
        </w:tc>
      </w:tr>
      <w:tr w:rsidR="00406DED" w:rsidRPr="00406DED" w14:paraId="6996BE5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3E08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9DE0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Provedba ovih ciljeva je kroz podmirenje troškova stanovanja, jednokratne novčane pomoći</w:t>
            </w:r>
          </w:p>
        </w:tc>
      </w:tr>
      <w:tr w:rsidR="00406DED" w:rsidRPr="00406DED" w14:paraId="2ACFFBE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1080E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2EA07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Kvalitetno zadovoljavanje  potreba socijalno ugroženih mještana Općine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Ernestinvo</w:t>
            </w:r>
            <w:proofErr w:type="spellEnd"/>
          </w:p>
        </w:tc>
      </w:tr>
      <w:tr w:rsidR="00406DED" w:rsidRPr="00406DED" w14:paraId="7BB1350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FFCFF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DA2B0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1758D6E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4D5CF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F515F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Prijenosi izvršeni u skladu sa zakonom i u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proisanom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roku</w:t>
            </w:r>
          </w:p>
        </w:tc>
      </w:tr>
      <w:tr w:rsidR="00406DED" w:rsidRPr="00406DED" w14:paraId="1C8041F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639803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1009A100001  TROŠKOVI STANOVANJA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F9649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895238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406DED" w:rsidRPr="00406DED" w14:paraId="2A15E1E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F6E7CD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1009A100002  OSTALE POMOĆI OBITELJIMA I POJEDINCIMA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B8FA9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F7301B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45.750,00</w:t>
            </w:r>
          </w:p>
        </w:tc>
      </w:tr>
      <w:tr w:rsidR="00406DED" w:rsidRPr="00406DED" w14:paraId="192BBC3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48786A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1010  DEMOGRAFSKA OBNOVA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E4474B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33DE94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406DED" w:rsidRPr="00406DED" w14:paraId="13B3B87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E1296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E4BE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62F43F1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B7656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9DA3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Ffinanciranje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roditelja za svako novorođeno dijete </w:t>
            </w:r>
          </w:p>
        </w:tc>
      </w:tr>
      <w:tr w:rsidR="00406DED" w:rsidRPr="00406DED" w14:paraId="397E6ADB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249B5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901F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Poboljšati demografsku  strukturu na području Općine </w:t>
            </w:r>
          </w:p>
        </w:tc>
      </w:tr>
      <w:tr w:rsidR="00406DED" w:rsidRPr="00406DED" w14:paraId="3B4BB7E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6178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51197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6AA93C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DA536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BDC13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Povećan broj novorođene djece</w:t>
            </w:r>
          </w:p>
        </w:tc>
      </w:tr>
      <w:tr w:rsidR="00406DED" w:rsidRPr="00406DED" w14:paraId="546C751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F32A4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1010A100001  PRONATALITETNA POLITIKA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A8E2F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18186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406DED" w:rsidRPr="00406DED" w14:paraId="1B2EB6F7" w14:textId="77777777" w:rsidTr="00406DED">
        <w:trPr>
          <w:trHeight w:val="31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3E49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F65A4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F1A68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DD83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B992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F66C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6B29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ED291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4E049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13C9C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30FA3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FAD8E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105F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7C1C9B21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DDA4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5AEB98F3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8350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81B7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63C70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6527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26AF0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51C1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E3B76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0FAA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9DF1D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40FB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15B325FD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57885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5E77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E929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2B293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D9D65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07E8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2E05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5B85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5D822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55D90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3750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D49B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19F9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94BE418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52A1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D4DC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DFB2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28C6A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5908E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8181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80A90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0813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A5D3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6619D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F9017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97E2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9952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1A1317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F7A27E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1011  POBOLJŠANJE STANDARDA CILJANIH SKUPINA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C5A028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41F58D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406DED" w:rsidRPr="00406DED" w14:paraId="303C1D0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35C8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3166A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6F3020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32D29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5A90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Poboljšanje standarda kroz razne pomoći</w:t>
            </w:r>
          </w:p>
        </w:tc>
      </w:tr>
      <w:tr w:rsidR="00406DED" w:rsidRPr="00406DED" w14:paraId="149D7CC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A2C50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6E682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Poboljšati standard umirovljenika kroz razne donacije i pomoći</w:t>
            </w:r>
          </w:p>
        </w:tc>
      </w:tr>
      <w:tr w:rsidR="00406DED" w:rsidRPr="00406DED" w14:paraId="28AA405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7A58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25BC0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Sretan i zadovoljan umirovljenik</w:t>
            </w:r>
          </w:p>
        </w:tc>
      </w:tr>
      <w:tr w:rsidR="00406DED" w:rsidRPr="00406DED" w14:paraId="62CBD89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740CF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236AF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 standard umirovljenika</w:t>
            </w:r>
          </w:p>
        </w:tc>
      </w:tr>
      <w:tr w:rsidR="00406DED" w:rsidRPr="00406DED" w14:paraId="57BFBFD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4084D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1011A100001  POMOĆ UMIROVLJENICIMA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3565E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9420E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406DED" w:rsidRPr="00406DED" w14:paraId="4264C2B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22EBD1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1012  POLJOPRIVREDA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61836F5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A00F93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1.041.988,00</w:t>
            </w:r>
          </w:p>
        </w:tc>
      </w:tr>
      <w:tr w:rsidR="00406DED" w:rsidRPr="00406DED" w14:paraId="224A18D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8FA2C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394A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poljoprivredi</w:t>
            </w:r>
          </w:p>
        </w:tc>
      </w:tr>
      <w:tr w:rsidR="00406DED" w:rsidRPr="00406DED" w14:paraId="7DA6082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A7D1F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2EACC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Uređenjem kanala,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otresnica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vodopskrebe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i subvencijama poljoprivrednicima </w:t>
            </w:r>
          </w:p>
        </w:tc>
      </w:tr>
      <w:tr w:rsidR="00406DED" w:rsidRPr="00406DED" w14:paraId="0B3C78E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4C30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A8F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razvoj ruralne infrastrukture i poljoprivrede</w:t>
            </w:r>
          </w:p>
        </w:tc>
      </w:tr>
      <w:tr w:rsidR="00406DED" w:rsidRPr="00406DED" w14:paraId="118BD95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F71B4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DF033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C08433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1E599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0C8E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održavanje ruralne i komunalne infrastrukture</w:t>
            </w:r>
          </w:p>
        </w:tc>
      </w:tr>
      <w:tr w:rsidR="00406DED" w:rsidRPr="00406DED" w14:paraId="202B379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406C9F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1012A100001  ISPITIVANJE TLA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7F5C7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80B9A4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060903C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501725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1012A100002  OSTALI RASHODI VEZANI ZA PROVOĐENJE PROGRAMA POLJOPRIVREDE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38CCB4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5E26F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66.988,00</w:t>
            </w:r>
          </w:p>
        </w:tc>
      </w:tr>
      <w:tr w:rsidR="00406DED" w:rsidRPr="00406DED" w14:paraId="64C57BB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E3D34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1012A100003  OTRESNICE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92CEB5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4C2F7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450.000,00</w:t>
            </w:r>
          </w:p>
        </w:tc>
      </w:tr>
      <w:tr w:rsidR="00406DED" w:rsidRPr="00406DED" w14:paraId="222705E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727D7A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1012A100004  POLJSKI PUTEVI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E88CFA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193E78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2E32BD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E1A6E8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Aktivnost  P01 1012A100005  UREĐENJE KANALA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70ED67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F469C3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406DED" w:rsidRPr="00406DED" w14:paraId="41268AD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16A73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1012A100006  SANACIJA DIVLJIH ODLAGALIŠTA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01A7C7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26C37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7E9A8D5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A8702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1012A100007  KANALIZACIJA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EE38E8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DF2BA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F85C2F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A2E37F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1012A100009  VODOOPSKRBA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A2629C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51E1E8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406DED" w:rsidRPr="00406DED" w14:paraId="113375F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996224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1012A100010  SUBVENCIJE POLJOPRIVREDNICIMA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FACCFE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3AFFAC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406DED" w:rsidRPr="00406DED" w14:paraId="04DB774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40380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1012K100008  SANACIJA CESTE I MOSTA PREKO RIJEKE VUKE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0B2351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FAB976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3CCBE77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27A9FB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1013  RELIGIJA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54E755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DF9660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406DED" w:rsidRPr="00406DED" w14:paraId="73D4845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B3A87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535AF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DD3E66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E732E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980A6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Poticati izgradnju kroz donacije Župi</w:t>
            </w:r>
          </w:p>
        </w:tc>
      </w:tr>
      <w:tr w:rsidR="00406DED" w:rsidRPr="00406DED" w14:paraId="742206B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3A3D0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451AC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Kapitalne donacije vjerskim zajednicama za izgradnju i dovršetak sakralnih objekata</w:t>
            </w:r>
          </w:p>
        </w:tc>
      </w:tr>
      <w:tr w:rsidR="00406DED" w:rsidRPr="00406DED" w14:paraId="65B5976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683E9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63C5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141027B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DC39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C5B07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Donacije sukladno planiranim</w:t>
            </w:r>
          </w:p>
        </w:tc>
      </w:tr>
      <w:tr w:rsidR="00406DED" w:rsidRPr="00406DED" w14:paraId="13D819B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AD1725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1013A100001  KAPITALNE DONACIJE ZA IZGRADNJU CRKVI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01BACD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C3D53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406DED" w:rsidRPr="00406DED" w14:paraId="3653878D" w14:textId="77777777" w:rsidTr="00406DED">
        <w:trPr>
          <w:trHeight w:val="19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5E6C4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D870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14B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08AD6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0278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A006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5D268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9C306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FAE3E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6A73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4A5BB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E9C0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A3C89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8BEF578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3EA4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6A3DAD4B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DBAA0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159EB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593D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B65B8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2268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C023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F0D9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58561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EA43E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3B050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218F5620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E13D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BB6FF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399F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78CC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F75A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B20BB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79641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0DD8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3F7FE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1A7E2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65C78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A546F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023E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59B71C63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7DC5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D0A3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CB4B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2CE1A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D9F7D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06F9E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AF0A1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22B3A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53CAD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96F8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8443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DD86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A3F33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32EA9B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0C8E8C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1013A100002  OSTALE TEKUĆE DONACIJE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696892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817C6B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406DED" w:rsidRPr="00406DED" w14:paraId="64D6A30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0312EB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1014  PROSTORNO UREĐENJE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9D9F18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913BA1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79AD226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381C0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97268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0F4B40F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D360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DE94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6F65575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08B52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1A561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6F024C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D3A9A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201C7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397559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F6DD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6780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A5241F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BC8DA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1014A100001  LEGALIZACIJA NEZAKONITO IZGRAĐENIH ZGRADA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921D4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7AD53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B9D9E0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B9C0A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1014A100002  IZMJENE I DOPUNE PROSTORNOG PLANA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11FABC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70E534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73DBC5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8C4B7E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1015  UDRUGE CIVILNOG DRUŠTVA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DD003B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02A70F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69.000,00</w:t>
            </w:r>
          </w:p>
        </w:tc>
      </w:tr>
      <w:tr w:rsidR="00406DED" w:rsidRPr="00406DED" w14:paraId="2FEA12D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FC11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FFEA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171158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1431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D73DF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Poboljšanje kvalitete stanovanja kroz financiranje udruga civilnog društva</w:t>
            </w:r>
          </w:p>
        </w:tc>
      </w:tr>
      <w:tr w:rsidR="00406DED" w:rsidRPr="00406DED" w14:paraId="7EBF7F0B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4C6E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60198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Razvoj civilnog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drštva</w:t>
            </w:r>
            <w:proofErr w:type="spellEnd"/>
          </w:p>
        </w:tc>
      </w:tr>
      <w:tr w:rsidR="00406DED" w:rsidRPr="00406DED" w14:paraId="2E480E7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9BBA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2032C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Unapređenje kvalitete stanovanja i zajednice</w:t>
            </w:r>
          </w:p>
        </w:tc>
      </w:tr>
      <w:tr w:rsidR="00406DED" w:rsidRPr="00406DED" w14:paraId="657B0DE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5F20A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570F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Donirana sredstva udrugama za razvoj civilnog društva</w:t>
            </w:r>
          </w:p>
        </w:tc>
      </w:tr>
      <w:tr w:rsidR="00406DED" w:rsidRPr="00406DED" w14:paraId="3CCF142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D0C81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1015A100001  FINANCIRANJE DRUGA CIVILNOG DRUŠTVA I OSTALIH ORGANIZACIJA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98A8D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9135E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69.000,00</w:t>
            </w:r>
          </w:p>
        </w:tc>
      </w:tr>
      <w:tr w:rsidR="00406DED" w:rsidRPr="00406DED" w14:paraId="3EEC75B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F43E4A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1016  PROGRAM KAPITALNIH ULAGANJA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AA8542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6B23D7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7.975.000,00</w:t>
            </w:r>
          </w:p>
        </w:tc>
      </w:tr>
      <w:tr w:rsidR="00406DED" w:rsidRPr="00406DED" w14:paraId="1E0A29B9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BC60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98629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146F373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F57E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0C0D8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Ciljevi će se ostvariti kroz razne projekte</w:t>
            </w:r>
          </w:p>
        </w:tc>
      </w:tr>
      <w:tr w:rsidR="00406DED" w:rsidRPr="00406DED" w14:paraId="7600C93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A58CD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93B3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Izgradnja i sanacija objekata radi održavanja i unapređenja kvalitete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žistanovanja</w:t>
            </w:r>
            <w:proofErr w:type="spellEnd"/>
          </w:p>
        </w:tc>
      </w:tr>
      <w:tr w:rsidR="00406DED" w:rsidRPr="00406DED" w14:paraId="346E4CB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57F2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5BF26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C179FC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16AB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883D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Povećanje stupnja izgrađenosti</w:t>
            </w:r>
          </w:p>
        </w:tc>
      </w:tr>
      <w:tr w:rsidR="00406DED" w:rsidRPr="00406DED" w14:paraId="6DA0CBB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58B39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1016K100001  SPORTSKI CENTAR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EE60B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E01943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F18A6C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B511D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1016K100002  SPORTSKI CENTAR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7B1D0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159C4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3E5778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FC41F5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1016K100003  DJEČJI VRTIĆ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F2A1F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43C99C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24B83B9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5288F6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1016K100004  PROŠIRENJE ZGRADE DVD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113B55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01DDD1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67E8B90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AD3B19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1016K100005  IZGR. BICIKLISTIČKE INFRASTR.  U OPĆINI ERNESTINOVO K.K.07.4.216.0007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6514A4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79C07E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5B975D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10437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1016K100006  MRTVAČNICA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FA512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60916B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079E2A8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EAD9F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1016K100007  SPOMENIK HRVATSKIM BRANITELJIMA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B924F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BCCB73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F93445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D32E1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1016K100008  LED JAVNA RASVJETA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59B7A5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8B1944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6745E1D9" w14:textId="77777777" w:rsidTr="00406DED">
        <w:trPr>
          <w:trHeight w:val="19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B256F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EF78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AE01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E2C6D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F2F7B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1586C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E1ABE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8CD51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7F68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1A4A3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9E661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F641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6F70C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495CFE1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6292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A25F08E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4B76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0C4A3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875C5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D8EC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C469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CA27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25F8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C7172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D0290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C2E70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6AA86E98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A387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A5765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B9534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BD823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388E1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088C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7B6A5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B932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39093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2AEB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4628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942DD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B0047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90C9308" w14:textId="77777777" w:rsidTr="00406DED">
        <w:trPr>
          <w:trHeight w:val="4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A7B8D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6B51C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2DC75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5325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A9165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CBC7B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B8F6A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DBD36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49721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AA3F8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533AB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F515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F996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1EF99F6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715D7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C7E7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2C974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5AA1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4BCA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2C1C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2057C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D3E9B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9364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64B2E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30826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7FA5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1ADF2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F4B2F1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FF22E1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1016K100009  LED JAVNA RASVJET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8DED2E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74E3B7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67373DA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25BA6A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Kapitalni projekt  P01 1016K100010  IZGRADNJA  CESTE-ZADRUŽNA ULICA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145DA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55ACB5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2B50447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D458F0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1016K100011  IZGRADNJA CESTE-VINOGRADSKA  ULICA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08CEB7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931171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0942B71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15F96D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1016K100012  SANACIJA  PJEŠAČKIH STAZA  ERNESTINOVO I FAZA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B2AC1D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5B727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D4CB8F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F75C25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1016K100013  IZGRADNJA CESTE SPOJ KOLODVORSKE I ULICE VL.NAZORA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AE940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711C0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85A177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61C58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1016K100014  IZGRADNJA CESTE SPOJ POBJEDE I VLADIMIRA NAZORA 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8E4DE4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F2F659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C2D1F5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44265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1016K100015  IZGRADNJA CESTE BRAĆE RADIĆA ERESTINOVO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87FFB8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0E2142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E7D2C8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A177B3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1016K100016  REVITALIZACIJA I OBNOVA GALERIJE P. SMAJIĆ KK.06.1.1.02.0002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1DF7C9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5BBBE3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66237B7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321509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1016K100017  SANACIJA MRTVAČNICE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01E8BA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DF44E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96AA5AB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100488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1016K100018  DJEČJI VRTIĆ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2EAAC0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FD715C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3FEAFC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B62641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1016K100019  SANACIJA NOGOSTUPA U LASLOVU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8A5BCF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94E181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F62B8A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CA9359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1016K100020  SANACIJA PJEŠAČKIH STAZA CENTAR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79975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DB04C0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550.000,00</w:t>
            </w:r>
          </w:p>
        </w:tc>
      </w:tr>
      <w:tr w:rsidR="00406DED" w:rsidRPr="00406DED" w14:paraId="1F60F1B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95303B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1016K100021  IZGRADNJA PJEŠAČKIH STAZA  U LASLOVU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C3230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24AF2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79239CF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525E54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1016K100022  SANACIJA PJEŠAČKIH STAZA U ERNESTINOVU  VL.NAZORA  II FAZA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9DAA36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BC480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</w:tr>
      <w:tr w:rsidR="00406DED" w:rsidRPr="00406DED" w14:paraId="0293C60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489B1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1016K100023  SANACIJA PJEŠAČKIH STAZA ŠKOLSKA ULICA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A71F35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091C08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430.000,00</w:t>
            </w:r>
          </w:p>
        </w:tc>
      </w:tr>
      <w:tr w:rsidR="00406DED" w:rsidRPr="00406DED" w14:paraId="55F7EE8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A218D6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1016K100024  SANACIJA PJEŠAČKIH STAZA  MATIJE GUPCA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439A5F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A102D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406DED" w:rsidRPr="00406DED" w14:paraId="2A9DAE6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861F1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1016K100025  REKREATIVNI DJEČJI CENTAR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626BD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9D139A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420.000,00</w:t>
            </w:r>
          </w:p>
        </w:tc>
      </w:tr>
      <w:tr w:rsidR="00406DED" w:rsidRPr="00406DED" w14:paraId="0BFCDA36" w14:textId="77777777" w:rsidTr="00406DED">
        <w:trPr>
          <w:trHeight w:val="48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37C2F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1016K100026  UREĐENJE KOMUNALNE INFRASTRUKTURE-PARKIRALIŠTA NA JAVNOJ POVRŠINI U LASLOVU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3F3DA5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2CBA8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A6382B5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4C052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1016K100027  SANACIJA PJEŠAČKIH STAZA P. ŠANDORA - TRG HRV.BRANTELJA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56FC56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F5A90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510.000,00</w:t>
            </w:r>
          </w:p>
        </w:tc>
      </w:tr>
      <w:tr w:rsidR="00406DED" w:rsidRPr="00406DED" w14:paraId="4F48724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9A471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1016K100028  SANACIJA PJ. STAZA TRG HRV. BRANITELJA - KOLODVORSKA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7A57E4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2E9D2C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810.000,00</w:t>
            </w:r>
          </w:p>
        </w:tc>
      </w:tr>
      <w:tr w:rsidR="00406DED" w:rsidRPr="00406DED" w14:paraId="3A6DF0E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95551B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1016K100029  ENERGETSKA OBNOVA STANOVA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92D4C66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9D8BA3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1.300.000,00</w:t>
            </w:r>
          </w:p>
        </w:tc>
      </w:tr>
      <w:tr w:rsidR="00406DED" w:rsidRPr="00406DED" w14:paraId="6316A6C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6BEDA7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1016K100030  IZGRADNJA STAZE NA GROBLJU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CF718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4221C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406DED" w:rsidRPr="00406DED" w14:paraId="337D3B3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70A4A1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1016K100031  SANACIJA PJEŠAČKIH STAZA U ULICI N.Š. ZRINSKOG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0C9F82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F40C97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725.000,00</w:t>
            </w:r>
          </w:p>
        </w:tc>
      </w:tr>
      <w:tr w:rsidR="00406DED" w:rsidRPr="00406DED" w14:paraId="353A9147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65558D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1016K100032  UREĐENJE PROMETNE POVRŠINE - ZONA ŠKOLE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33D075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75078E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</w:tr>
      <w:tr w:rsidR="00406DED" w:rsidRPr="00406DED" w14:paraId="2D97233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E4317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Kapitalni projekt  P01 1016K100033  RADOVI NA PLINSKIM PRIKLJUČCIMA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749EEC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59441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406DED" w:rsidRPr="00406DED" w14:paraId="116222B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A2ED98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1017  ZAŽELI- PROGRAM ZAPOŠLJAVANJA ŽENA: OSNAŽENE ERNESTINE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25C2D7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549201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C679AE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9F3F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1E4E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B121C9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D9A9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100EB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Obilazak starijih i nemoćnih osoba te osoba u nepovoljnijem položaju</w:t>
            </w:r>
          </w:p>
        </w:tc>
      </w:tr>
      <w:tr w:rsidR="00406DED" w:rsidRPr="00406DED" w14:paraId="2C26018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F7B9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95F6B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Smanjnje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stope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nazaposlenosti</w:t>
            </w:r>
            <w:proofErr w:type="spellEnd"/>
          </w:p>
        </w:tc>
      </w:tr>
      <w:tr w:rsidR="00406DED" w:rsidRPr="00406DED" w14:paraId="51E6FF6E" w14:textId="77777777" w:rsidTr="00406DED">
        <w:trPr>
          <w:trHeight w:val="31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1468A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FF069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C8C6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1F73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C60FF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5F2A6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BA48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140F2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96674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03B41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20351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1745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833C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6BB06402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E20A4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 </w:t>
            </w:r>
          </w:p>
        </w:tc>
      </w:tr>
      <w:tr w:rsidR="00406DED" w:rsidRPr="00406DED" w14:paraId="0CDFEC2B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99F5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33F0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4ADC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3B8FC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0768A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6EB0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3E20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F423D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104A4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E1E6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63651298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73F64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BCE02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EFE9E1" w14:textId="66B46561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C01A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938B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D2A44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F4D45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82EF5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23A48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ADDE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FB61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8A768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162B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F7211C6" w14:textId="77777777" w:rsidTr="00406DED">
        <w:trPr>
          <w:trHeight w:val="102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744A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2C3E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01E54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4F03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1374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F2F7A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12F55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9FAB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F52E7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03F36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D996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12B5E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D80CD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2BE73FBB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20C3C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0383E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Povećati razinu kvalitete života 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krajnih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korisnika</w:t>
            </w:r>
          </w:p>
        </w:tc>
      </w:tr>
      <w:tr w:rsidR="00406DED" w:rsidRPr="00406DED" w14:paraId="267D752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84BF7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B27D4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Zadovoljan korisnik</w:t>
            </w:r>
          </w:p>
        </w:tc>
      </w:tr>
      <w:tr w:rsidR="00406DED" w:rsidRPr="00406DED" w14:paraId="6157E6C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603F08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1017A100001  OSPOSOBLJAVANJE ŽENA ZA POSAO NJEGU  STARIJIH I NEMOĆNIH OSOBA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02FF81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B4E2E6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3B5D3C7" w14:textId="77777777" w:rsidTr="00406DED">
        <w:trPr>
          <w:trHeight w:val="48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43D890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1017A100002  ZAPOŠLJAVANJE ŽENA NA POSLOVIMA NJEGE STARIJIH  OSOBA I OSOBA U NEPOVOLJNOM POLOŽAJU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7BED3D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D1DA6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DAD13ED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18A521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1017A100003  PROMIDŽBA I VIDLJIVOST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27BD2D6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54221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49E0035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E2506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1017A100004  UPRAVLJANJE PROJEKTOM I ADMINISTRCIJA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C33491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687269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53243E54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1EBDE1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1018  ZAŠTITA ŽIVOTINJA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0B403E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5059B5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77.500,00</w:t>
            </w:r>
          </w:p>
        </w:tc>
      </w:tr>
      <w:tr w:rsidR="00406DED" w:rsidRPr="00406DED" w14:paraId="7811933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7F66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5B29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A98FE0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49739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3E36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zaštita životinja provodit će se kroz veterinarske usluge, sufinancirati rad skloništa </w:t>
            </w:r>
          </w:p>
        </w:tc>
      </w:tr>
      <w:tr w:rsidR="00406DED" w:rsidRPr="00406DED" w14:paraId="6AFA38D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6312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974F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zaštita svih životinja i pasa lutalica na području Općine</w:t>
            </w:r>
          </w:p>
        </w:tc>
      </w:tr>
      <w:tr w:rsidR="00406DED" w:rsidRPr="00406DED" w14:paraId="1DE7BDB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62B67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FFD05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6FAD11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707B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F4A8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zbrinutih životinja</w:t>
            </w:r>
          </w:p>
        </w:tc>
      </w:tr>
      <w:tr w:rsidR="00406DED" w:rsidRPr="00406DED" w14:paraId="7D24C93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354EF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1018A100001  MJERE PROVOĐENJA ZAŠTITE ŽIVOTINJA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B22C56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FFCB7D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77.500,00</w:t>
            </w:r>
          </w:p>
        </w:tc>
      </w:tr>
      <w:tr w:rsidR="00406DED" w:rsidRPr="00406DED" w14:paraId="6A69223B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748C36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1020  REDOVNI PROGRAM RADA KOMUNALNOG POGONA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D7C769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ADF7A7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2A5FFD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5321E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48670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04BBBA8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53C13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7BE4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Ostvariti cilj redovitim obavljanjem svih poslova iz nadležnosti</w:t>
            </w:r>
          </w:p>
        </w:tc>
      </w:tr>
      <w:tr w:rsidR="00406DED" w:rsidRPr="00406DED" w14:paraId="74B50264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F0B0B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8B2E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Organiziranje svih aktivnosti, osigurati sredstva za redovno obavljanje djelatnosti</w:t>
            </w:r>
          </w:p>
        </w:tc>
      </w:tr>
      <w:tr w:rsidR="00406DED" w:rsidRPr="00406DED" w14:paraId="62AAB44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99D6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895C6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73A4434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D3185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59371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poslova</w:t>
            </w:r>
          </w:p>
        </w:tc>
      </w:tr>
      <w:tr w:rsidR="00406DED" w:rsidRPr="00406DED" w14:paraId="5FA4557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FB4E7C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1020A100001  OPĆI RASHODI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2CD57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06598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D7A2DF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E6FD1D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1024  GOSPODARSTVO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2D2A2A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5B7210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406DED" w:rsidRPr="00406DED" w14:paraId="3C4BC19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2D15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67058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43FA6E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F9F5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1B23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Financiranje kamata za stambene kredite </w:t>
            </w:r>
          </w:p>
        </w:tc>
      </w:tr>
      <w:tr w:rsidR="00406DED" w:rsidRPr="00406DED" w14:paraId="0D32D090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F1BB9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7408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Financiranje stambenih kredita</w:t>
            </w:r>
          </w:p>
        </w:tc>
      </w:tr>
      <w:tr w:rsidR="00406DED" w:rsidRPr="00406DED" w14:paraId="00532E0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77D82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AC916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E5EC01D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8B36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85F5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odobrenih kredita</w:t>
            </w:r>
          </w:p>
        </w:tc>
      </w:tr>
      <w:tr w:rsidR="00406DED" w:rsidRPr="00406DED" w14:paraId="2B17B2A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FD025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1024A100001  STAMBENI KREDITI U FUNKCIJI POTICANJA GOSPODARSTVA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4F630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95D4F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406DED" w:rsidRPr="00406DED" w14:paraId="60868FE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72E00A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1027  ZAŽELI-PROGRAM ZAPOŠLJAVANJA ŽENA:OSNAŽENE ERNESTINE FAZA II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ADC82F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898948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695.170,00</w:t>
            </w:r>
          </w:p>
        </w:tc>
      </w:tr>
      <w:tr w:rsidR="00406DED" w:rsidRPr="00406DED" w14:paraId="602CE28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4B65B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ACED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BA2297C" w14:textId="77777777" w:rsidTr="00406DED">
        <w:trPr>
          <w:trHeight w:val="319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FAE3C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02275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ACBFE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9CAD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78B7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E740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7017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138C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1B393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6F3C5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9A59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2C4E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49E35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64733B61" w14:textId="77777777" w:rsidTr="00406DED">
        <w:trPr>
          <w:trHeight w:val="19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E677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14D6E86F" w14:textId="77777777" w:rsidTr="00406DED">
        <w:trPr>
          <w:trHeight w:val="24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9F6A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7DBD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91D3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E2D8F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A9777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59930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6A82B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61E3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12AF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BA5EE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259DDDD9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FA63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784A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91F9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D8F6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A2B74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5D473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162C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6E0F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E1C6B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02F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69A26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88D29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03BE0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5FE0A22D" w14:textId="77777777" w:rsidTr="00406DED">
        <w:trPr>
          <w:trHeight w:val="402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54965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19410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edukacija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nezaposneih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žena te obilazak korisnika</w:t>
            </w:r>
          </w:p>
        </w:tc>
      </w:tr>
      <w:tr w:rsidR="00406DED" w:rsidRPr="00406DED" w14:paraId="497F1FDA" w14:textId="77777777" w:rsidTr="00406DED">
        <w:trPr>
          <w:trHeight w:val="24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A831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450FE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Smanjenje stope nezaposlenosti  kroz edukaciju za njegovateljicu</w:t>
            </w:r>
          </w:p>
        </w:tc>
      </w:tr>
      <w:tr w:rsidR="00406DED" w:rsidRPr="00406DED" w14:paraId="67B9FC4C" w14:textId="77777777" w:rsidTr="00406DED">
        <w:trPr>
          <w:trHeight w:val="24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F5C45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7AF94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Povećati razinu kvalitete života krajnjih korisnika (starijih i nemoćnih osoba te osoba u nepovoljnom položaju</w:t>
            </w:r>
          </w:p>
        </w:tc>
      </w:tr>
      <w:tr w:rsidR="00406DED" w:rsidRPr="00406DED" w14:paraId="5F57F2EB" w14:textId="77777777" w:rsidTr="00406DED">
        <w:trPr>
          <w:trHeight w:val="79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10D1D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F03F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Zadovoljan korisnik</w:t>
            </w:r>
          </w:p>
        </w:tc>
      </w:tr>
      <w:tr w:rsidR="00406DED" w:rsidRPr="00406DED" w14:paraId="53F735ED" w14:textId="77777777" w:rsidTr="00406DED">
        <w:trPr>
          <w:trHeight w:val="735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0F198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1027A100001  ZAPOŠLJAVANJE ŽENA NA POSLVOMA NJEGE STARIJIH SOOBA I OSOBA U NEPOVOLJNOM POLOŽAJU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A5443E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DBE2DF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396.100,00</w:t>
            </w:r>
          </w:p>
        </w:tc>
      </w:tr>
      <w:tr w:rsidR="00406DED" w:rsidRPr="00406DED" w14:paraId="44BEB36E" w14:textId="77777777" w:rsidTr="00406DED">
        <w:trPr>
          <w:trHeight w:val="495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DDC97F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1027A100002  PROVOĐENJE PROJEKTA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2BEDAE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EE00F7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294.070,00</w:t>
            </w:r>
          </w:p>
        </w:tc>
      </w:tr>
      <w:tr w:rsidR="00406DED" w:rsidRPr="00406DED" w14:paraId="7563753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F6635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1027A100003  PROMIDŽBA I VIDLJIVOST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14D0AE5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A7BF5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406DED" w:rsidRPr="00406DED" w14:paraId="4E693299" w14:textId="77777777" w:rsidTr="00406DED">
        <w:trPr>
          <w:trHeight w:val="495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5BE2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AD27C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DCB57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29A55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7D22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0688D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DB75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2F66C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861EB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55C83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EFEA5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FDA9B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51F2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7B97FCD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34C6F52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003  JEDINSTVENI UPRAVNI ODJEL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4FB8477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6B99853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1.417.095,00</w:t>
            </w:r>
          </w:p>
        </w:tc>
      </w:tr>
      <w:tr w:rsidR="00406DED" w:rsidRPr="00406DED" w14:paraId="32B11FD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10CBEC7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003       01  JEDINSTVENI UPRAVNI ODJEL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7A3B972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5B21972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1.417.095,00</w:t>
            </w:r>
          </w:p>
        </w:tc>
      </w:tr>
      <w:tr w:rsidR="00406DED" w:rsidRPr="00406DED" w14:paraId="1BE4269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502059E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04267726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52B59A1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1.417.095,00</w:t>
            </w:r>
          </w:p>
        </w:tc>
      </w:tr>
      <w:tr w:rsidR="00406DED" w:rsidRPr="00406DED" w14:paraId="10FE866E" w14:textId="77777777" w:rsidTr="00406DED">
        <w:trPr>
          <w:trHeight w:val="48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AA8387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1019  JAVNA UPRAVA I ADMINISTRACIJA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28B9C2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0F34DD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1.417.095,00</w:t>
            </w:r>
          </w:p>
        </w:tc>
      </w:tr>
      <w:tr w:rsidR="00406DED" w:rsidRPr="00406DED" w14:paraId="3E240CA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7E27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7863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lokalnoj i regionalnoj samoupravi</w:t>
            </w:r>
          </w:p>
        </w:tc>
      </w:tr>
      <w:tr w:rsidR="00406DED" w:rsidRPr="00406DED" w14:paraId="14484B8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058A9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A29C0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Ostvariti ciljeve ažurnim i urednim vođenjem poslova </w:t>
            </w:r>
          </w:p>
        </w:tc>
      </w:tr>
      <w:tr w:rsidR="00406DED" w:rsidRPr="00406DED" w14:paraId="7CBA47B2" w14:textId="77777777" w:rsidTr="00406DED">
        <w:trPr>
          <w:trHeight w:val="405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85459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C894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Organiziranje svih aktivnosti, osigurati sredstva za redovno obavljanje zadataka</w:t>
            </w:r>
          </w:p>
        </w:tc>
      </w:tr>
      <w:tr w:rsidR="00406DED" w:rsidRPr="00406DED" w14:paraId="4CA4955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5D63C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C9F40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761C1F9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02767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8564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zadataka iz nadležnosti</w:t>
            </w:r>
          </w:p>
        </w:tc>
      </w:tr>
      <w:tr w:rsidR="00406DED" w:rsidRPr="00406DED" w14:paraId="313D6256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C5B366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1019A100001  ADMINISTRATIVNO I TEHNIČKO OSOBLJE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443D6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EF3923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1.218.901,00</w:t>
            </w:r>
          </w:p>
        </w:tc>
      </w:tr>
      <w:tr w:rsidR="00406DED" w:rsidRPr="00406DED" w14:paraId="7E90F01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AF24E9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1019A100002  STRUČNO OSPOSOBLJAVANJE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CBEC0E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CFBAFB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7AD24C9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957C92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1019A100003  JAVNI RADOVI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7CC772B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A04879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198.194,00</w:t>
            </w:r>
          </w:p>
        </w:tc>
      </w:tr>
      <w:tr w:rsidR="00406DED" w:rsidRPr="00406DED" w14:paraId="1E7FE3B7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0D171E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1019T100004  INLORE- UVOĐENJE E RAČUNA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E0ABEF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D4C2DA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345F3229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4FB62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AD0E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C06C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9BEAB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89193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995AE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41166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062A8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99D86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FC81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B66E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26A7B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E145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5FAAE9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43141F9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004  VLASTITI KOMUNALNI POGON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760CD5B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6570DDD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2.955.238,00</w:t>
            </w:r>
          </w:p>
        </w:tc>
      </w:tr>
      <w:tr w:rsidR="00406DED" w:rsidRPr="00406DED" w14:paraId="4E54D77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6D09710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004       01  VLASTITI KOMUNALNI POGON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1E42425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6EF8800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2.955.238,00</w:t>
            </w:r>
          </w:p>
        </w:tc>
      </w:tr>
      <w:tr w:rsidR="00406DED" w:rsidRPr="00406DED" w14:paraId="47C2D29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27DA2C1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77DB76D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396A8D7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2.955.238,00</w:t>
            </w:r>
          </w:p>
        </w:tc>
      </w:tr>
      <w:tr w:rsidR="00406DED" w:rsidRPr="00406DED" w14:paraId="7FCB3C5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815F76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1020  REDOVNI PROGRAM RADA KOMUNALNOG POGONA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DC1BAC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C276E9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685.720,00</w:t>
            </w:r>
          </w:p>
        </w:tc>
      </w:tr>
      <w:tr w:rsidR="00406DED" w:rsidRPr="00406DED" w14:paraId="3C1E063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D70E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60B57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297FA13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E08B1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451D3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Ostvariti cilj redovitim obavljanjem svih poslova iz nadležnosti</w:t>
            </w:r>
          </w:p>
        </w:tc>
      </w:tr>
      <w:tr w:rsidR="00406DED" w:rsidRPr="00406DED" w14:paraId="0E788592" w14:textId="77777777" w:rsidTr="00406DED">
        <w:trPr>
          <w:trHeight w:val="42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8EF6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E5519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Organiziranje svih aktivnosti, osigurati sredstva za redovno obavljanje djelatnosti</w:t>
            </w:r>
          </w:p>
        </w:tc>
      </w:tr>
      <w:tr w:rsidR="00406DED" w:rsidRPr="00406DED" w14:paraId="4055ED4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A8F8D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5F694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3D0CCE1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DAB7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8D8A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Pravovremeno obavljanje svih poslova</w:t>
            </w:r>
          </w:p>
        </w:tc>
      </w:tr>
      <w:tr w:rsidR="00406DED" w:rsidRPr="00406DED" w14:paraId="24D5EB2E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A59F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6B036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6E144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CD8C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E56D9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A8FF4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6626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A86F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E8F21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9B80C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8C6E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E49AD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4DFA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EDF7CEF" w14:textId="77777777" w:rsidTr="00406DED">
        <w:trPr>
          <w:trHeight w:val="300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C1CF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7D58B5D8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C88A7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7475B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D56ED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AC54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3F79C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2FB5A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59039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EB809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1C8D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720C8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41C885E5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50EE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58F83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369F4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89766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913BA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AAE39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E9005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F4BE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CF69C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1AE6F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1B779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C67D0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B6FB0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FBE2275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579E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3943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B9423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2E221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DE3AE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86570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C5A0B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B2E84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8642F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C4B12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CD562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ECAF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E4E4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4CA94C23" w14:textId="77777777" w:rsidTr="00406DED">
        <w:trPr>
          <w:trHeight w:val="402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3CB77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1020A100001  OPĆI RASHODI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057760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658831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510.720,00</w:t>
            </w:r>
          </w:p>
        </w:tc>
      </w:tr>
      <w:tr w:rsidR="00406DED" w:rsidRPr="00406DED" w14:paraId="0E0FE0A0" w14:textId="77777777" w:rsidTr="00406DED">
        <w:trPr>
          <w:trHeight w:val="24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5DACB8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1020A100002  ODRŽAVANJE TRANSPORTNIH SREDSTAVA, RADNIH STROJEVA I OPREME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BFF58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3C22C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175.000,00</w:t>
            </w:r>
          </w:p>
        </w:tc>
      </w:tr>
      <w:tr w:rsidR="00406DED" w:rsidRPr="00406DED" w14:paraId="2B652E73" w14:textId="77777777" w:rsidTr="00406DED">
        <w:trPr>
          <w:trHeight w:val="24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2291EE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1021  ODRŽAVANJE KOMUNALNE INFRASTRUKTURE I JAVNIH POVRŠINA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E93A0B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08A798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302.000,00</w:t>
            </w:r>
          </w:p>
        </w:tc>
      </w:tr>
      <w:tr w:rsidR="00406DED" w:rsidRPr="00406DED" w14:paraId="259DDFF7" w14:textId="77777777" w:rsidTr="00406DED">
        <w:trPr>
          <w:trHeight w:val="48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3B5A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4D03F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komunalnom gospodarstvu</w:t>
            </w:r>
          </w:p>
        </w:tc>
      </w:tr>
      <w:tr w:rsidR="00406DED" w:rsidRPr="00406DED" w14:paraId="5CD8D1DC" w14:textId="77777777" w:rsidTr="00406DED">
        <w:trPr>
          <w:trHeight w:val="402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A5DA4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3ABF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Održavanjem objekata komunalne infrastrukture</w:t>
            </w:r>
          </w:p>
        </w:tc>
      </w:tr>
      <w:tr w:rsidR="00406DED" w:rsidRPr="00406DED" w14:paraId="5827A6E0" w14:textId="77777777" w:rsidTr="00406DED">
        <w:trPr>
          <w:trHeight w:val="319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F7C86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D0DF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Unaprijediti kvalitetu komunalne infrastrukture</w:t>
            </w:r>
          </w:p>
        </w:tc>
      </w:tr>
      <w:tr w:rsidR="00406DED" w:rsidRPr="00406DED" w14:paraId="0DE07A77" w14:textId="77777777" w:rsidTr="00406DED">
        <w:trPr>
          <w:trHeight w:val="42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39B79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44078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4C69110E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C6ED3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87237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Podići kvalitetu komunalne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infrastrukturei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kvalitetu življenja</w:t>
            </w:r>
          </w:p>
        </w:tc>
      </w:tr>
      <w:tr w:rsidR="00406DED" w:rsidRPr="00406DED" w14:paraId="13A3915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5C02B1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1021A100001  JAVNA RASVJETA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841E57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0E38B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406DED" w:rsidRPr="00406DED" w14:paraId="3092D75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50A7E1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1021A100002  CESTE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E92D0A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15C64C6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406DED" w:rsidRPr="00406DED" w14:paraId="1CDB6FB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C5D306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1021A100003  NOGOSTUPI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E15BD0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3025DF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406DED" w:rsidRPr="00406DED" w14:paraId="670437C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959DF6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1021A100004  VODOVOD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7DB578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4BA380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406DED" w:rsidRPr="00406DED" w14:paraId="55DAA23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7DD12A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1021A100005  MRTVAČNICA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7217B7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A8971A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406DED" w:rsidRPr="00406DED" w14:paraId="7A7BB1D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F8EADF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1021A100006  GROBLJA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FB4B239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226183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406DED" w:rsidRPr="00406DED" w14:paraId="0485A73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662B0B0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1021A100007  MRTVAČNICA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3214EA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FD2C96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406DED" w:rsidRPr="00406DED" w14:paraId="4F44FBFC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66C124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1022  ODRŽAVANJE OSTALIH JAVNIH POVRŠINA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B0674A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1B6075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297.518,00</w:t>
            </w:r>
          </w:p>
        </w:tc>
      </w:tr>
      <w:tr w:rsidR="00406DED" w:rsidRPr="00406DED" w14:paraId="0EDE42DB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83C8C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AC9D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komunalnom gospodarstvu</w:t>
            </w:r>
          </w:p>
        </w:tc>
      </w:tr>
      <w:tr w:rsidR="00406DED" w:rsidRPr="00406DED" w14:paraId="5EDCBF09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787D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47EA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Redovno održavanje parkova i ostalih javnih površina</w:t>
            </w:r>
          </w:p>
        </w:tc>
      </w:tr>
      <w:tr w:rsidR="00406DED" w:rsidRPr="00406DED" w14:paraId="5BC8034C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99B6B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02E99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Unaprijediti kvalitetu ostalih javnih površina</w:t>
            </w:r>
          </w:p>
        </w:tc>
      </w:tr>
      <w:tr w:rsidR="00406DED" w:rsidRPr="00406DED" w14:paraId="0F942D3B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33525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B1513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5752BE6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97F42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7F0E4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Podići kvalitetu ostalih javnih površina</w:t>
            </w:r>
          </w:p>
        </w:tc>
      </w:tr>
      <w:tr w:rsidR="00406DED" w:rsidRPr="00406DED" w14:paraId="511BB7F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C5EAF9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1022A100001  PARK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782DC3D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2480CB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406DED" w:rsidRPr="00406DED" w14:paraId="074897B5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F6C8A1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1022A100002  PARK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1F98F2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DF4E6D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75.000,00</w:t>
            </w:r>
          </w:p>
        </w:tc>
      </w:tr>
      <w:tr w:rsidR="00406DED" w:rsidRPr="00406DED" w14:paraId="191CB6A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6F0A6D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1022A100003  OSTALE JAVNE POVRŠINE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93C4BE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938F505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406DED" w:rsidRPr="00406DED" w14:paraId="3E2F1E2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D99006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1022A100005  UREĐENJE DJEČJIH IGRALIŠTA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1B195C2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4CB169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406DED" w:rsidRPr="00406DED" w14:paraId="615604C2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0A3F8C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1022A100006  UREĐENJE AUTOBUSNIH STAJALIŠTA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D8C0938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04A66CA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82.518,00</w:t>
            </w:r>
          </w:p>
        </w:tc>
      </w:tr>
      <w:tr w:rsidR="00406DED" w:rsidRPr="00406DED" w14:paraId="643ADDF9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C017B3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1022T100004  TURISTIČKA SIGNALIZACIJA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E0C6A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D327839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406DED" w:rsidRPr="00406DED" w14:paraId="17419273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41628D4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1023  GOSPODARENJE OTPADOM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CD36F6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5665B79B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1.670.000,00</w:t>
            </w:r>
          </w:p>
        </w:tc>
      </w:tr>
      <w:tr w:rsidR="00406DED" w:rsidRPr="00406DED" w14:paraId="57BA8043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9BF0C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7132E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406DED" w:rsidRPr="00406DED" w14:paraId="03D7E9C2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77AF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4E31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korišenje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dvoritša</w:t>
            </w:r>
            <w:proofErr w:type="spellEnd"/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, nabava kanti za skupljanje otpada</w:t>
            </w:r>
          </w:p>
        </w:tc>
      </w:tr>
      <w:tr w:rsidR="00406DED" w:rsidRPr="00406DED" w14:paraId="21D48989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F5E3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E3A4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4F59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17AFF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C6A7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0324B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3700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0D41D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A49128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1652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7256C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788A7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65575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18C93634" w14:textId="77777777" w:rsidTr="00406DED">
        <w:trPr>
          <w:trHeight w:val="300"/>
        </w:trPr>
        <w:tc>
          <w:tcPr>
            <w:tcW w:w="14020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AD19F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775FC1B7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3121E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EECA4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1D49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D5687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48AC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B971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0B8D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407F6C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5589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0419D4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406DED" w:rsidRPr="00406DED" w14:paraId="7BFD4929" w14:textId="77777777" w:rsidTr="00406DED">
        <w:trPr>
          <w:trHeight w:val="66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9780B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30DFD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8174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71759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87B7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666A9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14DAB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172B25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DEF8A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F683DF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2DF45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40194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BD5F4A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026CBF21" w14:textId="77777777" w:rsidTr="00406DED">
        <w:trPr>
          <w:trHeight w:val="402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EC9B5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1017C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Smanjenje površina zagađenih otpadom</w:t>
            </w:r>
          </w:p>
        </w:tc>
      </w:tr>
      <w:tr w:rsidR="00406DED" w:rsidRPr="00406DED" w14:paraId="276DF369" w14:textId="77777777" w:rsidTr="00406DED">
        <w:trPr>
          <w:trHeight w:val="24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ED114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DBFA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Smanjiti nekontrolirano odlaganje otpada</w:t>
            </w:r>
          </w:p>
        </w:tc>
      </w:tr>
      <w:tr w:rsidR="00406DED" w:rsidRPr="00406DED" w14:paraId="368D3462" w14:textId="77777777" w:rsidTr="00406DED">
        <w:trPr>
          <w:trHeight w:val="24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FCE2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45AD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Smanjene površine zagađene otpadom</w:t>
            </w:r>
          </w:p>
        </w:tc>
      </w:tr>
      <w:tr w:rsidR="00406DED" w:rsidRPr="00406DED" w14:paraId="3F5BBE46" w14:textId="77777777" w:rsidTr="00406DED">
        <w:trPr>
          <w:trHeight w:val="405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21F645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1023A100001  KORIŠTENJE RECIKLAŽNOG DVORIŠTA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95A895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154DAD3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406DED" w:rsidRPr="00406DED" w14:paraId="70614AFA" w14:textId="77777777" w:rsidTr="00406DED">
        <w:trPr>
          <w:trHeight w:val="402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D9F534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1023A100002  OSTALI RASHODI VEZANI UZ GOSPODARENJE OTPADOM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44BA2F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4B6B598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406DED" w:rsidRPr="00406DED" w14:paraId="22B31C14" w14:textId="77777777" w:rsidTr="00406DED">
        <w:trPr>
          <w:trHeight w:val="319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F8652F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1023T100003  SANACIJA ODLAGALIŠTA I FAZA -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F29377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B421F2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800.000,00</w:t>
            </w:r>
          </w:p>
        </w:tc>
      </w:tr>
      <w:tr w:rsidR="00406DED" w:rsidRPr="00406DED" w14:paraId="54A21E6F" w14:textId="77777777" w:rsidTr="00406DED">
        <w:trPr>
          <w:trHeight w:val="405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C48E21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Tekući projekt  P01 1023T100004  SANACIJA ODLAGALIŠTA II FAZA - LASLOVO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3174AE1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FA05322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815.000,00</w:t>
            </w:r>
          </w:p>
        </w:tc>
      </w:tr>
      <w:tr w:rsidR="00406DED" w:rsidRPr="00406DED" w14:paraId="4E12C33B" w14:textId="77777777" w:rsidTr="00406DED">
        <w:trPr>
          <w:trHeight w:val="300"/>
        </w:trPr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76756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8375B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46EFC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687A89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318ED2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40D8D7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CBA60B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ADCA3D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4629E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84D26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746720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4F293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FAA181" w14:textId="77777777" w:rsidR="00406DED" w:rsidRPr="00406DED" w:rsidRDefault="00406DED" w:rsidP="00406D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6DE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6DED" w:rsidRPr="00406DED" w14:paraId="35BC62B8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40D8818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Razdjel  005  PRORAČUNSKI KORISNIK-DJEČJI VRTIĆ OGLEDALCE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4CEE02BE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AA"/>
            <w:vAlign w:val="center"/>
            <w:hideMark/>
          </w:tcPr>
          <w:p w14:paraId="61EBFFAC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2.095.985,00</w:t>
            </w:r>
          </w:p>
        </w:tc>
      </w:tr>
      <w:tr w:rsidR="00406DED" w:rsidRPr="00406DED" w14:paraId="733E2A1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172402A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Glava  005       01  DJEČJI VRTIĆ OGLEDALCE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5B86003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C8"/>
            <w:vAlign w:val="center"/>
            <w:hideMark/>
          </w:tcPr>
          <w:p w14:paraId="3EC3A92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2.095.985,00</w:t>
            </w:r>
          </w:p>
        </w:tc>
      </w:tr>
      <w:tr w:rsidR="00406DED" w:rsidRPr="00406DED" w14:paraId="556CAAC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14:paraId="32E0BEA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 005       01        51476  DJEČJI VRTIĆ OGLEDALCE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14:paraId="72FE8C24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E6"/>
            <w:vAlign w:val="center"/>
            <w:hideMark/>
          </w:tcPr>
          <w:p w14:paraId="2A5336D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FFFFFF"/>
                <w:sz w:val="20"/>
                <w:szCs w:val="20"/>
                <w:lang w:eastAsia="hr-HR"/>
              </w:rPr>
              <w:t>2.095.985,00</w:t>
            </w:r>
          </w:p>
        </w:tc>
      </w:tr>
      <w:tr w:rsidR="00406DED" w:rsidRPr="00406DED" w14:paraId="07C9F0AB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44E1779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Glavni program  P01  POSLOVI IZ DJELOKRUGA JEDINICA LOKALNE SAMOUPRAVE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18B635D3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4B4B4"/>
            <w:vAlign w:val="center"/>
            <w:hideMark/>
          </w:tcPr>
          <w:p w14:paraId="213BA231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b/>
                <w:bCs/>
                <w:color w:val="000000"/>
                <w:sz w:val="20"/>
                <w:szCs w:val="20"/>
                <w:lang w:eastAsia="hr-HR"/>
              </w:rPr>
              <w:t>2.095.985,00</w:t>
            </w:r>
          </w:p>
        </w:tc>
      </w:tr>
      <w:tr w:rsidR="00406DED" w:rsidRPr="00406DED" w14:paraId="1B47EEC1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92292C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1025  REDOVNI PROGRAM RADA VRTIĆA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E66DC00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B12CCC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1.342.351,00</w:t>
            </w:r>
          </w:p>
        </w:tc>
      </w:tr>
      <w:tr w:rsidR="00406DED" w:rsidRPr="00406DED" w14:paraId="4D55FB6F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9F159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0C138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 predškolskom odgoju</w:t>
            </w:r>
          </w:p>
        </w:tc>
      </w:tr>
      <w:tr w:rsidR="00406DED" w:rsidRPr="00406DED" w14:paraId="251FD5E0" w14:textId="77777777" w:rsidTr="00406DED">
        <w:trPr>
          <w:trHeight w:val="51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9B9F8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4AFFA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Provođenje programa predškolskog odgoja</w:t>
            </w:r>
          </w:p>
        </w:tc>
      </w:tr>
      <w:tr w:rsidR="00406DED" w:rsidRPr="00406DED" w14:paraId="2B1A109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CB3D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CF5A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Razvoj i naobrazba  djece</w:t>
            </w:r>
          </w:p>
        </w:tc>
      </w:tr>
      <w:tr w:rsidR="00406DED" w:rsidRPr="00406DED" w14:paraId="30CC7755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B5EC7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FBDA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Zaustavljanje pada nataliteta</w:t>
            </w:r>
          </w:p>
        </w:tc>
      </w:tr>
      <w:tr w:rsidR="00406DED" w:rsidRPr="00406DED" w14:paraId="1FE4DEB9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AB76B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2B5EE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polaznika vrtića</w:t>
            </w:r>
          </w:p>
        </w:tc>
      </w:tr>
      <w:tr w:rsidR="00406DED" w:rsidRPr="00406DED" w14:paraId="616B8D00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A411D0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1025A100001  OPĆI RASHODI  VEZANI ZA RAD VRTIĆA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1F034367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B3D8030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1.342.351,00</w:t>
            </w:r>
          </w:p>
        </w:tc>
      </w:tr>
      <w:tr w:rsidR="00406DED" w:rsidRPr="00406DED" w14:paraId="3AFDEE3A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60D117D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Program  P01 1028  OBITELJSKI SKLAD KROZ PRODULJENI RAD - DV OGLEDALCE ERNESTINOVO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E64D61A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2D76A0A7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753.634,00</w:t>
            </w:r>
          </w:p>
        </w:tc>
      </w:tr>
      <w:tr w:rsidR="00406DED" w:rsidRPr="00406DED" w14:paraId="4BF25CAA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A8EC7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Zakonska osnova: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83FF9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Zakon o predškolskom odgoju</w:t>
            </w:r>
          </w:p>
        </w:tc>
      </w:tr>
      <w:tr w:rsidR="00406DED" w:rsidRPr="00406DED" w14:paraId="5ACD8F41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9C0CC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Opis: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6202F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produljeni rad  vrtića  za 4 sata dnevno edukacijom odgojitelja te razvojem posebnih programa u svrhu boljeg usklađivanja poslovnog i obiteljskog života  za 50 obitelji u trajanju od  20 mjeseci</w:t>
            </w:r>
          </w:p>
        </w:tc>
      </w:tr>
      <w:tr w:rsidR="00406DED" w:rsidRPr="00406DED" w14:paraId="7808E026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D84D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Opći cilj: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DDBF84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Unaprijeđen redoviti program  rada dječjeg vrtića</w:t>
            </w:r>
          </w:p>
        </w:tc>
      </w:tr>
      <w:tr w:rsidR="00406DED" w:rsidRPr="00406DED" w14:paraId="64A7984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C10A9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lastRenderedPageBreak/>
              <w:t>Posebni ciljevi: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67EACE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 xml:space="preserve">Uvođenje  produljenog radnog vremena vrtića za </w:t>
            </w:r>
          </w:p>
        </w:tc>
      </w:tr>
      <w:tr w:rsidR="00406DED" w:rsidRPr="00406DED" w14:paraId="660E3BE8" w14:textId="77777777" w:rsidTr="00406DED">
        <w:trPr>
          <w:trHeight w:val="300"/>
        </w:trPr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89EBE2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Pokazatelj uspješnosti:</w:t>
            </w:r>
          </w:p>
        </w:tc>
        <w:tc>
          <w:tcPr>
            <w:tcW w:w="11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2AFBE5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broj djece uključen u uslugu produljenog radnog vremena vrtića</w:t>
            </w:r>
          </w:p>
        </w:tc>
      </w:tr>
      <w:tr w:rsidR="00406DED" w:rsidRPr="00406DED" w14:paraId="54B2D4E4" w14:textId="77777777" w:rsidTr="00406DED">
        <w:trPr>
          <w:trHeight w:val="69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4B1D2A91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1028A100001  OSIGURANJE USLUGA ZA PROGRAM RANOG I PREDŠKOLSKOG ODGOJA I OBRAZOVANJA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8F6DD1C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718D4C3E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372.132,00</w:t>
            </w:r>
          </w:p>
        </w:tc>
      </w:tr>
      <w:tr w:rsidR="00406DED" w:rsidRPr="00406DED" w14:paraId="3F3B98EE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B9E1E18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1028A100002  PROMIDŽBA I VIDLJIVOST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2BF574C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028EE6DF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10.593,00</w:t>
            </w:r>
          </w:p>
        </w:tc>
      </w:tr>
      <w:tr w:rsidR="00406DED" w:rsidRPr="00406DED" w14:paraId="450AB4BF" w14:textId="77777777" w:rsidTr="00406DED">
        <w:trPr>
          <w:trHeight w:val="300"/>
        </w:trPr>
        <w:tc>
          <w:tcPr>
            <w:tcW w:w="10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6C66CAD6" w14:textId="77777777" w:rsidR="00406DED" w:rsidRPr="00406DED" w:rsidRDefault="00406DED" w:rsidP="00406DED">
            <w:pPr>
              <w:spacing w:after="0" w:line="240" w:lineRule="auto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Aktivnost  P01 1028A100003  UPRAVLJANJE PROJEKTOM I ADMINISTRACIJA</w:t>
            </w:r>
          </w:p>
        </w:tc>
        <w:tc>
          <w:tcPr>
            <w:tcW w:w="1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3E80658F" w14:textId="77777777" w:rsidR="00406DED" w:rsidRPr="00406DED" w:rsidRDefault="00406DED" w:rsidP="00406DED">
            <w:pPr>
              <w:spacing w:after="0" w:line="240" w:lineRule="auto"/>
              <w:jc w:val="center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14:paraId="5EC4F57D" w14:textId="77777777" w:rsidR="00406DED" w:rsidRPr="00406DED" w:rsidRDefault="00406DED" w:rsidP="00406DED">
            <w:pPr>
              <w:spacing w:after="0" w:line="240" w:lineRule="auto"/>
              <w:jc w:val="right"/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</w:pPr>
            <w:r w:rsidRPr="00406DED">
              <w:rPr>
                <w:rFonts w:ascii="Arimo" w:eastAsia="Times New Roman" w:hAnsi="Arimo" w:cs="Calibri"/>
                <w:color w:val="000000"/>
                <w:sz w:val="20"/>
                <w:szCs w:val="20"/>
                <w:lang w:eastAsia="hr-HR"/>
              </w:rPr>
              <w:t>370.909,00</w:t>
            </w:r>
          </w:p>
        </w:tc>
      </w:tr>
    </w:tbl>
    <w:p w14:paraId="5F216205" w14:textId="0976C12E" w:rsidR="00244389" w:rsidRPr="00373369" w:rsidRDefault="00244389" w:rsidP="00373369">
      <w:pPr>
        <w:rPr>
          <w:b/>
          <w:bCs/>
          <w:sz w:val="28"/>
          <w:szCs w:val="28"/>
        </w:rPr>
      </w:pPr>
    </w:p>
    <w:sectPr w:rsidR="00244389" w:rsidRPr="00373369" w:rsidSect="006C71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B68"/>
    <w:multiLevelType w:val="hybridMultilevel"/>
    <w:tmpl w:val="98662F8C"/>
    <w:lvl w:ilvl="0" w:tplc="D2745322">
      <w:start w:val="18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0BE047A"/>
    <w:multiLevelType w:val="hybridMultilevel"/>
    <w:tmpl w:val="1E609266"/>
    <w:lvl w:ilvl="0" w:tplc="74A8BC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82"/>
    <w:rsid w:val="000B6804"/>
    <w:rsid w:val="00244389"/>
    <w:rsid w:val="00296CBD"/>
    <w:rsid w:val="002C7EF4"/>
    <w:rsid w:val="00373369"/>
    <w:rsid w:val="003856E1"/>
    <w:rsid w:val="004047CC"/>
    <w:rsid w:val="00406DED"/>
    <w:rsid w:val="004614BA"/>
    <w:rsid w:val="004B341E"/>
    <w:rsid w:val="00544A8D"/>
    <w:rsid w:val="0054643B"/>
    <w:rsid w:val="00582025"/>
    <w:rsid w:val="00597F96"/>
    <w:rsid w:val="006B3432"/>
    <w:rsid w:val="006C711E"/>
    <w:rsid w:val="00850E2A"/>
    <w:rsid w:val="00942F09"/>
    <w:rsid w:val="00AF6D46"/>
    <w:rsid w:val="00B439EA"/>
    <w:rsid w:val="00C050F7"/>
    <w:rsid w:val="00D233B0"/>
    <w:rsid w:val="00DA3A8E"/>
    <w:rsid w:val="00E06A79"/>
    <w:rsid w:val="00E856B4"/>
    <w:rsid w:val="00EE2382"/>
    <w:rsid w:val="00F5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E253"/>
  <w15:chartTrackingRefBased/>
  <w15:docId w15:val="{A1BF2830-06C5-4C51-B93C-8304F150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711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2C7EF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C7EF4"/>
    <w:rPr>
      <w:color w:val="954F72"/>
      <w:u w:val="single"/>
    </w:rPr>
  </w:style>
  <w:style w:type="paragraph" w:customStyle="1" w:styleId="msonormal0">
    <w:name w:val="msonormal"/>
    <w:basedOn w:val="Normal"/>
    <w:rsid w:val="002C7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2C7EF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2C7EF4"/>
    <w:pPr>
      <w:shd w:val="clear" w:color="000000" w:fill="0000AA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67">
    <w:name w:val="xl67"/>
    <w:basedOn w:val="Normal"/>
    <w:rsid w:val="002C7EF4"/>
    <w:pPr>
      <w:shd w:val="clear" w:color="000000" w:fill="0000AA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68">
    <w:name w:val="xl68"/>
    <w:basedOn w:val="Normal"/>
    <w:rsid w:val="002C7EF4"/>
    <w:pPr>
      <w:shd w:val="clear" w:color="000000" w:fill="0000AA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2C7EF4"/>
    <w:pPr>
      <w:shd w:val="clear" w:color="000000" w:fill="0000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2C7EF4"/>
    <w:pPr>
      <w:shd w:val="clear" w:color="000000" w:fill="0000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71">
    <w:name w:val="xl71"/>
    <w:basedOn w:val="Normal"/>
    <w:rsid w:val="002C7EF4"/>
    <w:pPr>
      <w:shd w:val="clear" w:color="000000" w:fill="0000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72">
    <w:name w:val="xl72"/>
    <w:basedOn w:val="Normal"/>
    <w:rsid w:val="002C7EF4"/>
    <w:pPr>
      <w:shd w:val="clear" w:color="000000" w:fill="B4B4B4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2C7EF4"/>
    <w:pPr>
      <w:shd w:val="clear" w:color="000000" w:fill="B4B4B4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2C7EF4"/>
    <w:pPr>
      <w:shd w:val="clear" w:color="000000" w:fill="B4B4B4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2C7EF4"/>
    <w:pP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2C7EF4"/>
    <w:pP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2C7EF4"/>
    <w:pPr>
      <w:shd w:val="clear" w:color="000000" w:fill="C8C8C8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2C7EF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2C7EF4"/>
    <w:pPr>
      <w:shd w:val="clear" w:color="000000" w:fill="DDDDDD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2C7EF4"/>
    <w:pPr>
      <w:shd w:val="clear" w:color="000000" w:fill="DDDDDD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2C7EF4"/>
    <w:pPr>
      <w:shd w:val="clear" w:color="000000" w:fill="DDDDDD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color w:val="000000"/>
      <w:sz w:val="20"/>
      <w:szCs w:val="20"/>
      <w:lang w:eastAsia="hr-HR"/>
    </w:rPr>
  </w:style>
  <w:style w:type="paragraph" w:customStyle="1" w:styleId="xl82">
    <w:name w:val="xl82"/>
    <w:basedOn w:val="Normal"/>
    <w:rsid w:val="002C7EF4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2C7EF4"/>
    <w:pPr>
      <w:shd w:val="clear" w:color="000000" w:fill="0000E6"/>
      <w:spacing w:before="100" w:beforeAutospacing="1" w:after="100" w:afterAutospacing="1" w:line="240" w:lineRule="auto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4">
    <w:name w:val="xl84"/>
    <w:basedOn w:val="Normal"/>
    <w:rsid w:val="002C7EF4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5">
    <w:name w:val="xl85"/>
    <w:basedOn w:val="Normal"/>
    <w:rsid w:val="002C7EF4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6">
    <w:name w:val="xl86"/>
    <w:basedOn w:val="Normal"/>
    <w:rsid w:val="00406DED"/>
    <w:pPr>
      <w:shd w:val="clear" w:color="000000" w:fill="0000E6"/>
      <w:spacing w:before="100" w:beforeAutospacing="1" w:after="100" w:afterAutospacing="1" w:line="240" w:lineRule="auto"/>
      <w:jc w:val="center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7">
    <w:name w:val="xl87"/>
    <w:basedOn w:val="Normal"/>
    <w:rsid w:val="00406DED"/>
    <w:pPr>
      <w:shd w:val="clear" w:color="000000" w:fill="0000E6"/>
      <w:spacing w:before="100" w:beforeAutospacing="1" w:after="100" w:afterAutospacing="1" w:line="240" w:lineRule="auto"/>
      <w:jc w:val="right"/>
      <w:textAlignment w:val="center"/>
    </w:pPr>
    <w:rPr>
      <w:rFonts w:ascii="Arimo" w:eastAsia="Times New Roman" w:hAnsi="Arimo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406DE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hr-HR"/>
              <a:t>Prikaz</a:t>
            </a:r>
            <a:r>
              <a:rPr lang="hr-HR" baseline="0"/>
              <a:t> plana proračuna - PRIHODI  </a:t>
            </a:r>
            <a:endParaRPr lang="hr-HR"/>
          </a:p>
        </c:rich>
      </c:tx>
      <c:layout>
        <c:manualLayout>
          <c:xMode val="edge"/>
          <c:yMode val="edge"/>
          <c:x val="0.27074173369079529"/>
          <c:y val="1.862197392923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Skup 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List1!$A$2:$A$5</c:f>
              <c:strCache>
                <c:ptCount val="3"/>
                <c:pt idx="0">
                  <c:v>Prihodi poslovanja</c:v>
                </c:pt>
                <c:pt idx="1">
                  <c:v>Prihodi od prodaje nefinacijske imovine</c:v>
                </c:pt>
                <c:pt idx="2">
                  <c:v>Višak prihoda iz prethodnih godina</c:v>
                </c:pt>
              </c:strCache>
            </c:strRef>
          </c:cat>
          <c:val>
            <c:numRef>
              <c:f>List1!$B$2:$B$5</c:f>
              <c:numCache>
                <c:formatCode>#,##0.00</c:formatCode>
                <c:ptCount val="4"/>
                <c:pt idx="0">
                  <c:v>16877399</c:v>
                </c:pt>
                <c:pt idx="1">
                  <c:v>38475</c:v>
                </c:pt>
                <c:pt idx="2">
                  <c:v>1944707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DE-48DC-B56F-E4DE6239C90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Stupac2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List1!$A$2:$A$5</c:f>
              <c:strCache>
                <c:ptCount val="3"/>
                <c:pt idx="0">
                  <c:v>Prihodi poslovanja</c:v>
                </c:pt>
                <c:pt idx="1">
                  <c:v>Prihodi od prodaje nefinacijske imovine</c:v>
                </c:pt>
                <c:pt idx="2">
                  <c:v>Višak prihoda iz prethodnih godina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ADDE-48DC-B56F-E4DE6239C90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Stupac1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List1!$A$2:$A$5</c:f>
              <c:strCache>
                <c:ptCount val="3"/>
                <c:pt idx="0">
                  <c:v>Prihodi poslovanja</c:v>
                </c:pt>
                <c:pt idx="1">
                  <c:v>Prihodi od prodaje nefinacijske imovine</c:v>
                </c:pt>
                <c:pt idx="2">
                  <c:v>Višak prihoda iz prethodnih godina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ADDE-48DC-B56F-E4DE6239C9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12475871"/>
        <c:axId val="612476703"/>
      </c:barChart>
      <c:catAx>
        <c:axId val="612475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476703"/>
        <c:crosses val="autoZero"/>
        <c:auto val="1"/>
        <c:lblAlgn val="ctr"/>
        <c:lblOffset val="100"/>
        <c:noMultiLvlLbl val="0"/>
      </c:catAx>
      <c:valAx>
        <c:axId val="6124767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12475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P</a:t>
            </a:r>
            <a:r>
              <a:rPr lang="hr-HR"/>
              <a:t>rikaz plana proračuna - IZDACI</a:t>
            </a:r>
            <a:endParaRPr lang="en-US"/>
          </a:p>
        </c:rich>
      </c:tx>
      <c:layout>
        <c:manualLayout>
          <c:xMode val="edge"/>
          <c:yMode val="edge"/>
          <c:x val="0.35162079510703359"/>
          <c:y val="3.11394196744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914373088685014"/>
          <c:y val="0.1062420382165605"/>
          <c:w val="0.6941896024464832"/>
          <c:h val="0.4355114209449934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Prodaja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977C-4E90-8640-8852544C410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77C-4E90-8640-8852544C410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977C-4E90-8640-8852544C410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77C-4E90-8640-8852544C410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6-977C-4E90-8640-8852544C410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77C-4E90-8640-8852544C410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8-977C-4E90-8640-8852544C410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77C-4E90-8640-8852544C410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A-977C-4E90-8640-8852544C4100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977C-4E90-8640-8852544C4100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C-977C-4E90-8640-8852544C4100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977C-4E90-8640-8852544C4100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1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E-977C-4E90-8640-8852544C4100}"/>
              </c:ext>
            </c:extLst>
          </c:dPt>
          <c:dPt>
            <c:idx val="13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977C-4E90-8640-8852544C4100}"/>
              </c:ext>
            </c:extLst>
          </c:dPt>
          <c:dPt>
            <c:idx val="14"/>
            <c:bubble3D val="0"/>
            <c:spPr>
              <a:gradFill rotWithShape="1">
                <a:gsLst>
                  <a:gs pos="0">
                    <a:schemeClr val="accent3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0-977C-4E90-8640-8852544C4100}"/>
              </c:ext>
            </c:extLst>
          </c:dPt>
          <c:dPt>
            <c:idx val="15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F-EFB5-48E4-863E-ACC962FF3714}"/>
              </c:ext>
            </c:extLst>
          </c:dPt>
          <c:dLbls>
            <c:delete val="1"/>
          </c:dLbls>
          <c:cat>
            <c:strRef>
              <c:f>List1!$A$2:$A$17</c:f>
              <c:strCache>
                <c:ptCount val="16"/>
                <c:pt idx="0">
                  <c:v>Plaće (bruto)</c:v>
                </c:pt>
                <c:pt idx="1">
                  <c:v>Ostali rashodi za zaposlene</c:v>
                </c:pt>
                <c:pt idx="2">
                  <c:v>Doprinosi na plaće</c:v>
                </c:pt>
                <c:pt idx="3">
                  <c:v>Naknade troškova zaposlenima</c:v>
                </c:pt>
                <c:pt idx="4">
                  <c:v>Rashodi za usluge</c:v>
                </c:pt>
                <c:pt idx="5">
                  <c:v>Naknade troškova osobama izvan radnog odnosa</c:v>
                </c:pt>
                <c:pt idx="6">
                  <c:v>Financijski rashodi</c:v>
                </c:pt>
                <c:pt idx="7">
                  <c:v>Subvencije</c:v>
                </c:pt>
                <c:pt idx="8">
                  <c:v>Pomoći unutar općeg proračuna</c:v>
                </c:pt>
                <c:pt idx="9">
                  <c:v>Naknade građanima i kućanstvima</c:v>
                </c:pt>
                <c:pt idx="10">
                  <c:v>Tekuće donacije</c:v>
                </c:pt>
                <c:pt idx="11">
                  <c:v>Kapitalne donacije</c:v>
                </c:pt>
                <c:pt idx="12">
                  <c:v>Kapitalne pomoći</c:v>
                </c:pt>
                <c:pt idx="13">
                  <c:v>Građevinski objekti</c:v>
                </c:pt>
                <c:pt idx="14">
                  <c:v>Postrojenja i oprema </c:v>
                </c:pt>
                <c:pt idx="15">
                  <c:v>Rashodi za materijal i energiju 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2854555</c:v>
                </c:pt>
                <c:pt idx="1">
                  <c:v>211900</c:v>
                </c:pt>
                <c:pt idx="2">
                  <c:v>474207</c:v>
                </c:pt>
                <c:pt idx="3">
                  <c:v>213433</c:v>
                </c:pt>
                <c:pt idx="4">
                  <c:v>11085678</c:v>
                </c:pt>
                <c:pt idx="5">
                  <c:v>5000</c:v>
                </c:pt>
                <c:pt idx="6">
                  <c:v>69600</c:v>
                </c:pt>
                <c:pt idx="7">
                  <c:v>15000</c:v>
                </c:pt>
                <c:pt idx="8">
                  <c:v>95000</c:v>
                </c:pt>
                <c:pt idx="9">
                  <c:v>426250</c:v>
                </c:pt>
                <c:pt idx="10">
                  <c:v>619780</c:v>
                </c:pt>
                <c:pt idx="11">
                  <c:v>200000</c:v>
                </c:pt>
                <c:pt idx="12">
                  <c:v>500000</c:v>
                </c:pt>
                <c:pt idx="13">
                  <c:v>246555</c:v>
                </c:pt>
                <c:pt idx="14">
                  <c:v>816000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7C-4E90-8640-8852544C410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4065833513930022E-2"/>
          <c:y val="0.5342438883037709"/>
          <c:w val="0.81247995376724713"/>
          <c:h val="0.406308128681367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 sz="1200"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20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Šuica</dc:creator>
  <cp:keywords/>
  <dc:description/>
  <cp:lastModifiedBy>Zorica Šuica</cp:lastModifiedBy>
  <cp:revision>15</cp:revision>
  <cp:lastPrinted>2021-11-19T09:59:00Z</cp:lastPrinted>
  <dcterms:created xsi:type="dcterms:W3CDTF">2021-11-19T09:09:00Z</dcterms:created>
  <dcterms:modified xsi:type="dcterms:W3CDTF">2021-12-16T14:34:00Z</dcterms:modified>
</cp:coreProperties>
</file>