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3A6FD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Na temelju članka 14. stavak 1. Zakona o Proračunu (Narodne novine 87/08, 136/12 i 15/15) i članka 28. Statuta Općine Ernestinovo (Službeni glasnik  Općine Ernestinovo 1/13 i 4/13, 3/18, 4/18, 4/19 – pročišćeni tekst, 4/20) Općinsko Vijeće Općine Ernestinovo na svojoj 38. sjednici održanoj 1. prosinca 2020. godine  donijelo je </w:t>
      </w:r>
    </w:p>
    <w:p w14:paraId="1EBA1F63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552ECE2" w14:textId="77777777" w:rsidR="00284E03" w:rsidRPr="008B709D" w:rsidRDefault="00284E03" w:rsidP="00284E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95684BA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O D L U K U</w:t>
      </w:r>
    </w:p>
    <w:p w14:paraId="472E9941" w14:textId="77777777" w:rsidR="00284E03" w:rsidRPr="008B709D" w:rsidRDefault="00284E03" w:rsidP="00284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o izvršenju Proračuna Općine Ernestinovo </w:t>
      </w:r>
    </w:p>
    <w:p w14:paraId="61BA299A" w14:textId="77777777" w:rsidR="00284E03" w:rsidRPr="008B709D" w:rsidRDefault="00284E03" w:rsidP="00284E0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 xml:space="preserve">   za 2021. godinu</w:t>
      </w:r>
    </w:p>
    <w:p w14:paraId="3DDAF4BA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3EB601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7D2D22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I OPĆE ODREDBE</w:t>
      </w:r>
    </w:p>
    <w:p w14:paraId="7DD54D6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B065DF2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1.</w:t>
      </w:r>
    </w:p>
    <w:p w14:paraId="3E4F19B4" w14:textId="77777777" w:rsidR="00284E03" w:rsidRPr="008B709D" w:rsidRDefault="00284E03" w:rsidP="00284E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B99F3EA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Ovom Odlukom uređuje se struktura prihoda i primitaka te rashoda i izdataka Proračuna i njegovo izvršavanje, opseg zaduživanja, upravljanje financijskom i nefinancijskom imovinom, prava i obveze proračunskih korisnika, pojedine ovlasti načelnika u izvršavanju proračuna.</w:t>
      </w:r>
    </w:p>
    <w:p w14:paraId="5C2F5CEE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0CF94B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2.</w:t>
      </w:r>
    </w:p>
    <w:p w14:paraId="2CC47C2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8DAB537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 se sastoji od Općeg i Posebnog dijela te plana razvojnih programa.</w:t>
      </w:r>
    </w:p>
    <w:p w14:paraId="4966AD70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 dio Proračuna sadrži: Račun prihoda i rashoda  i račun financiranja.</w:t>
      </w:r>
    </w:p>
    <w:p w14:paraId="03186CD8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Računu prihoda i rashoda iskazani su prihodi poslovanja i prihodi od prodaje nefinancijske imovine, te rashodi poslovanja i rashodi za nabavu nefinancijske imovine.</w:t>
      </w:r>
    </w:p>
    <w:p w14:paraId="5B145510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Posebni dio Proračuna sastoji se od plana rashoda i izdataka proračunskih korisnika iskazanih po vrstama, raspoređenih u programe koji se sastoje od aktivnosti i projekata.</w:t>
      </w:r>
    </w:p>
    <w:p w14:paraId="3610224E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00CC8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3.</w:t>
      </w:r>
    </w:p>
    <w:p w14:paraId="4DB20CE3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A537C2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rashode i izdatke korisnika Proračuna osiguravaju se proračunskim korisnicima koji su u njegovu Posebnom dijelu određeni za nositelje sredstava.</w:t>
      </w:r>
    </w:p>
    <w:p w14:paraId="5758D867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72D9D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F1BA83A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 IZVRŠAVANJE PRORAČUNA</w:t>
      </w:r>
    </w:p>
    <w:p w14:paraId="6311AFD4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8935479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4.</w:t>
      </w:r>
    </w:p>
    <w:p w14:paraId="071C747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9AD7A4F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Proračunska sredstva koriste se samo za namjene koje su određene Proračunom i to do visine utvrđene u njegovom posebnom dijelu.</w:t>
      </w:r>
    </w:p>
    <w:p w14:paraId="3F3A0A8E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Rashodi i izdaci Proračuna koji se financiraju iz namjenskih prihoda i primitaka izvršavat će se do iznosa naplaćenih prihoda i primitaka za te namjene.</w:t>
      </w:r>
    </w:p>
    <w:p w14:paraId="30B3CBF8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Iznimno od odredbe stavka 2. ovog članka, Načelnik može odlučiti da se pojedini rashodi i izdaci pokrivaju i na teret ostalih proračunskih prihoda, a najviše do visine planiranih iznosa.</w:t>
      </w:r>
    </w:p>
    <w:p w14:paraId="7CA4AF8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Namjenski prihodi i primici koji ne budu iskorišteni u ovoj proračunskoj godini prenose se u narednu proračunsku godinu.</w:t>
      </w:r>
    </w:p>
    <w:p w14:paraId="54EE9DFE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aktivnosti i projekte koja se izvršavaju kao subvencije, donacije i pomoći pojedinom korisniku, raspoređuje Načelnik ako krajnji korisnik nije utvrđen u Posebnom dijelu Proračuna, programu javnih potreba ili drugom aktu Općinskog vijeća.</w:t>
      </w:r>
    </w:p>
    <w:p w14:paraId="612FEBEB" w14:textId="77777777" w:rsidR="00284E03" w:rsidRPr="008B709D" w:rsidRDefault="00284E03" w:rsidP="0028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14:paraId="067A7DA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5.</w:t>
      </w:r>
    </w:p>
    <w:p w14:paraId="24322224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2548FB4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prihodi Proračuna ne naplaćuju u planiranim svotama i planiranoj dinamici tijekom godine,  prvo se podmiruju izdaci za redovitu djelatnost Jedinstvenog upravnog odijela i Komunalnog pogona.</w:t>
      </w:r>
    </w:p>
    <w:p w14:paraId="7119B0F3" w14:textId="77777777" w:rsidR="00284E03" w:rsidRPr="008B709D" w:rsidRDefault="00284E03" w:rsidP="00284E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1A63BD7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lastRenderedPageBreak/>
        <w:t>Članak 6.</w:t>
      </w:r>
    </w:p>
    <w:p w14:paraId="61524766" w14:textId="77777777" w:rsidR="00284E03" w:rsidRPr="008B709D" w:rsidRDefault="00284E03" w:rsidP="00284E0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C89F8E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se koriste za utvrđene namjene štedljivo i u skladu s propisima o korištenju odnosno raspolaganju tim sredstvima. Nadzor nad korištenjem Proračunskih sredstava obavlja se u skladu sa Zakonom o Proračunu.</w:t>
      </w:r>
    </w:p>
    <w:p w14:paraId="441ED451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DC400D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7.</w:t>
      </w:r>
    </w:p>
    <w:p w14:paraId="13602027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BE43EB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Godišnji proračun izvršava se do 31. prosinca 2021. godine. Samo naplaćeni prihodi u tekućoj godini jesu prihodi te godine.</w:t>
      </w:r>
    </w:p>
    <w:p w14:paraId="434080B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Obveze koje ne budu  podmirene do 31. prosinca 2021. godine podmirit će se iz namjenskih sredstava Proračuna 2022. godine. Te obveze imaju prioritet u odnosu na nastale obveze u 2021. godini.</w:t>
      </w:r>
    </w:p>
    <w:p w14:paraId="1C96A701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A917F85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8.</w:t>
      </w:r>
    </w:p>
    <w:p w14:paraId="1AD5E6F6" w14:textId="77777777" w:rsidR="00284E03" w:rsidRPr="008B709D" w:rsidRDefault="00284E03" w:rsidP="0028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0A3673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Ukoliko se pojedini proračunski izdaci ne budu mogli izvršavati zbog nedovoljno planiranih rashoda, a na drugim pozicijama pojave se uštede, ovlašćuje se Načelnik da sukladno članku 46. Zakona o proračunu može vršiti preraspodjelu sredstava između razdjela, s tim da se tom prilikom ne može mijenjati ukupni iznos rashoda utvrđenih Proračunom.</w:t>
      </w:r>
    </w:p>
    <w:p w14:paraId="71D78D6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 preraspodjeli sredstava izvještava Vijeće u rokovima za podnošenje polugodišnjeg i godišnjeg obračuna Proračuna.</w:t>
      </w:r>
    </w:p>
    <w:p w14:paraId="7558880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6745B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9.</w:t>
      </w:r>
    </w:p>
    <w:p w14:paraId="74E9665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9085660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Za planiranje i izvršavanje Proračuna u </w:t>
      </w:r>
      <w:proofErr w:type="spellStart"/>
      <w:r w:rsidRPr="008B709D">
        <w:rPr>
          <w:rFonts w:ascii="Times New Roman" w:eastAsia="Times New Roman" w:hAnsi="Times New Roman" w:cs="Times New Roman"/>
          <w:lang w:eastAsia="hr-HR"/>
        </w:rPr>
        <w:t>cIjelosti</w:t>
      </w:r>
      <w:proofErr w:type="spellEnd"/>
      <w:r w:rsidRPr="008B709D">
        <w:rPr>
          <w:rFonts w:ascii="Times New Roman" w:eastAsia="Times New Roman" w:hAnsi="Times New Roman" w:cs="Times New Roman"/>
          <w:lang w:eastAsia="hr-HR"/>
        </w:rPr>
        <w:t xml:space="preserve"> je odgovoran Načelnik. Odgovornost za izvršavanje Proračuna podrazumijeva odgovornost za preuzimanje i verifikaciju obveza, izdavanje naloga za plaćanje na teret proračunskih sredstava,  te za utvrđivanje prava naplate i izdavanje naloga za naplatu u korist proračunskih sredstava.</w:t>
      </w:r>
    </w:p>
    <w:p w14:paraId="0FE6660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E533D9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10.</w:t>
      </w:r>
    </w:p>
    <w:p w14:paraId="3802D7B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1B213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Proračunski korisnik Općine je Vijeće mađarske nacionalne manjine. Vijeće nema svoj žiro račun te  svoje financijske transakcije obavlja putem računa Općine. </w:t>
      </w:r>
    </w:p>
    <w:p w14:paraId="0BD5ED43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Svi prihodi i primici proračunskog korisnika uplaćuju se na IBAN račun Općine, a svi rashodi i izdaci isplaćuju se sa IBAN računa Općine.</w:t>
      </w:r>
    </w:p>
    <w:p w14:paraId="28FBD23F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Čelnik Vijeća odgovoran je za točnost, vjerodostojnost i zakonsku osnovu knjigovodstvenih isprava kojom se dokazuje obveza plaćanja.</w:t>
      </w:r>
    </w:p>
    <w:p w14:paraId="5FBD897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5048A5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Proračunski korisnik Dječji vrtić „Ogledalce“ poslovanje obavlja putem svojeg žiro-računa. Općina Ernestinovo sudjeluje u radu vrtića financiranjem djela bruto plaće zaposlenika. Ostali rashodi poslovanja financiraju se iz prihoda prikupljenih od sufinanciranja roditelja i Općina  sa čijeg područja djeca pohađaju vrtić. Ravnatelj Vrtića odgovoran je za točnost, vjerodostojnost i zakonsku osnovu knjigovodstvenih isprava kojom se dokazuje obveza plaćanja.</w:t>
      </w:r>
    </w:p>
    <w:p w14:paraId="73FF9950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FA974D2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2F35F5A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III PRIHODI PRORAČUNA</w:t>
      </w:r>
    </w:p>
    <w:p w14:paraId="1D9DC8FA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933EB06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11.</w:t>
      </w:r>
    </w:p>
    <w:p w14:paraId="67CC149A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B3F4678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 Proračunu se planiraju svi prihodi koje sukladno pozitivnim propisima ostvaruje Općina.</w:t>
      </w:r>
    </w:p>
    <w:p w14:paraId="657F19FF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Prihodi što ih tijela općinske uprave ostvare obavljanjem djelatnosti, prihodi su Proračuna i uplaćuju se na račun Proračuna.</w:t>
      </w:r>
    </w:p>
    <w:p w14:paraId="58153283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Jedinstveni upravni odjel Općine nadzire ostvarenje i trošenje prihoda .</w:t>
      </w:r>
    </w:p>
    <w:p w14:paraId="403FB47D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FC04A3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D4ACA43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lastRenderedPageBreak/>
        <w:t>IV ISPLATA SREDSTAVA IZ PRORAČUNA</w:t>
      </w:r>
    </w:p>
    <w:p w14:paraId="693E5F81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8E2B8C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12.</w:t>
      </w:r>
    </w:p>
    <w:p w14:paraId="4CD64BE8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542AD8E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Svaki rashod i izdatak iz Proračuna mora se temeljiti na vjerodostojnoj knjigovodstvenoj ispravi kojom se dokazuje obveza plaćanja.</w:t>
      </w:r>
    </w:p>
    <w:p w14:paraId="0AD0C72E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Službenik kojeg za to posebnom odlukom ovlasti Načelnik, mora prije isplate provjeriti i potvrditi potpisom pravni temelj i visinu obveze koja proizlazi iz knjigovodstvene isprave.</w:t>
      </w:r>
    </w:p>
    <w:p w14:paraId="0675E357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39F39D9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13.</w:t>
      </w:r>
    </w:p>
    <w:p w14:paraId="3E7B3158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720CC05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Donacije političkim strankama rasporedit će se po posebnom odlukom Općinskog Vijeća, a doznačivat će se tromjesečno.</w:t>
      </w:r>
    </w:p>
    <w:p w14:paraId="603FA77E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509782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530872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 ODGODA PLAĆANJA TE OTPIS POTRAŽIVANJA</w:t>
      </w:r>
    </w:p>
    <w:p w14:paraId="2777D18F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AAF341D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14.</w:t>
      </w:r>
    </w:p>
    <w:p w14:paraId="6E6F1C37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79A687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može u cijelosti ili djelomično otpisati dug prema Općini ako bi troškovi postupka naplate bili u nerazmjeru s visinom potraživanja odnosno zbog drugog opravdanog razloga.</w:t>
      </w:r>
    </w:p>
    <w:p w14:paraId="39A641B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Načelnik odlučuje o otpisu nenaplativih i spornih potraživanja temeljem izvještaja Povjerenstva za popis potraživanja, a sukladno Pravilniku o proračunskom računovodstvu i Računskom planu (Narodne novine  broj 124/14).</w:t>
      </w:r>
    </w:p>
    <w:p w14:paraId="3A341B4B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C07D1DA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 UPRAVLJANJE NEFINANCIJSKOM DUGOTRAJNOM IMOVINOM</w:t>
      </w:r>
    </w:p>
    <w:p w14:paraId="530A8E95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70CC3AB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15.</w:t>
      </w:r>
    </w:p>
    <w:p w14:paraId="1FBB5349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076DB07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Nefinancijskom dugotrajnom imovinom Općine upravlja Načelnik. Upravljanje imovinom podrazumijeva njezino korištenje, održavanje i davanje u  </w:t>
      </w:r>
      <w:proofErr w:type="spellStart"/>
      <w:r w:rsidRPr="008B709D">
        <w:rPr>
          <w:rFonts w:ascii="Times New Roman" w:eastAsia="Times New Roman" w:hAnsi="Times New Roman" w:cs="Times New Roman"/>
          <w:lang w:eastAsia="hr-HR"/>
        </w:rPr>
        <w:t>zakup,vođenje</w:t>
      </w:r>
      <w:proofErr w:type="spellEnd"/>
      <w:r w:rsidRPr="008B709D">
        <w:rPr>
          <w:rFonts w:ascii="Times New Roman" w:eastAsia="Times New Roman" w:hAnsi="Times New Roman" w:cs="Times New Roman"/>
          <w:lang w:eastAsia="hr-HR"/>
        </w:rPr>
        <w:t xml:space="preserve"> popisa o toj imovini u skladu sa zakonom.</w:t>
      </w:r>
    </w:p>
    <w:p w14:paraId="1ABD8EA3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Sredstva za održavanje dugotrajne imovine osiguravaju se u rashodima poslovanja Proračuna.</w:t>
      </w:r>
    </w:p>
    <w:p w14:paraId="7515B6B0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D0E75F9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16.</w:t>
      </w:r>
    </w:p>
    <w:p w14:paraId="0ED0AB0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63CD4C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Knjigovodstvena evidencija nefinancijske dugotrajne imovine vodi se u Jedinstvenom upravnom odjelu Općine.</w:t>
      </w:r>
    </w:p>
    <w:p w14:paraId="16BC7FF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886B35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29B3E24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8B709D">
        <w:rPr>
          <w:rFonts w:ascii="Times New Roman" w:eastAsia="Times New Roman" w:hAnsi="Times New Roman" w:cs="Times New Roman"/>
          <w:b/>
          <w:lang w:eastAsia="hr-HR"/>
        </w:rPr>
        <w:t>VII  ZADUŽIVANJA I JAMSTVA</w:t>
      </w:r>
    </w:p>
    <w:p w14:paraId="58ABB8A1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ED6D240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17.</w:t>
      </w:r>
    </w:p>
    <w:p w14:paraId="224CD252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82D4AEF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Općina Ernestinovo se može zadužiti dugoročno za investicije uzimanjem kredita, a koje potvrdi Općinsko Vijeće, uz prethodnu suglasnost Vlade Republike Hrvatske/Ministarstva financija Republike Hrvatske.</w:t>
      </w:r>
    </w:p>
    <w:p w14:paraId="7CA0A70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A34F9FC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8B709D">
        <w:rPr>
          <w:rFonts w:ascii="Times New Roman" w:eastAsia="Times New Roman" w:hAnsi="Times New Roman" w:cs="Times New Roman"/>
          <w:b/>
          <w:bCs/>
          <w:lang w:eastAsia="hr-HR"/>
        </w:rPr>
        <w:t>VIII  ZAVRŠNE ODREDBE</w:t>
      </w:r>
    </w:p>
    <w:p w14:paraId="1D66F9D0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28A5C0F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Članak 18.</w:t>
      </w:r>
    </w:p>
    <w:p w14:paraId="60FA6777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1602D08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Ova Odluka objavit će se u Službenom glasniku Općine Ernestinovo,  a stupa na snagu 1. siječnja 2021. godine.</w:t>
      </w:r>
    </w:p>
    <w:p w14:paraId="61AC357D" w14:textId="77777777" w:rsidR="00284E03" w:rsidRPr="008B709D" w:rsidRDefault="00284E03" w:rsidP="00284E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68CF559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8AD1CB8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3379F6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DAB844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KLASA:  400-06/20-02/6 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E21635">
        <w:rPr>
          <w:rFonts w:ascii="Times New Roman" w:eastAsia="Times New Roman" w:hAnsi="Times New Roman" w:cs="Times New Roman"/>
          <w:lang w:eastAsia="hr-HR"/>
        </w:rPr>
        <w:t>PREDSJEDNIK OPĆINSKOG VIJEĆA</w:t>
      </w:r>
    </w:p>
    <w:p w14:paraId="62DC0A1A" w14:textId="77777777" w:rsidR="00284E03" w:rsidRPr="008B709D" w:rsidRDefault="00284E03" w:rsidP="00284E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>URBROJ: 2158/04-01-20-1</w:t>
      </w:r>
    </w:p>
    <w:p w14:paraId="2E7C7BF6" w14:textId="77777777" w:rsidR="00284E03" w:rsidRDefault="00284E03" w:rsidP="00284E03">
      <w:pPr>
        <w:rPr>
          <w:rFonts w:ascii="Times New Roman" w:eastAsia="Times New Roman" w:hAnsi="Times New Roman" w:cs="Times New Roman"/>
          <w:lang w:eastAsia="hr-HR"/>
        </w:rPr>
      </w:pPr>
      <w:r w:rsidRPr="008B709D">
        <w:rPr>
          <w:rFonts w:ascii="Times New Roman" w:eastAsia="Times New Roman" w:hAnsi="Times New Roman" w:cs="Times New Roman"/>
          <w:lang w:eastAsia="hr-HR"/>
        </w:rPr>
        <w:t xml:space="preserve">Ernestinovo, 1. prosinca 2020.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  <w:r w:rsidRPr="008B709D">
        <w:rPr>
          <w:rFonts w:ascii="Times New Roman" w:eastAsia="Times New Roman" w:hAnsi="Times New Roman" w:cs="Times New Roman"/>
          <w:lang w:eastAsia="hr-HR"/>
        </w:rPr>
        <w:tab/>
        <w:t xml:space="preserve">        Krunoslav Dragičević</w:t>
      </w:r>
      <w:r>
        <w:rPr>
          <w:rFonts w:ascii="Times New Roman" w:eastAsia="Times New Roman" w:hAnsi="Times New Roman" w:cs="Times New Roman"/>
          <w:lang w:eastAsia="hr-HR"/>
        </w:rPr>
        <w:t>, v.r.</w:t>
      </w:r>
      <w:r w:rsidRPr="008B709D">
        <w:rPr>
          <w:rFonts w:ascii="Times New Roman" w:eastAsia="Times New Roman" w:hAnsi="Times New Roman" w:cs="Times New Roman"/>
          <w:lang w:eastAsia="hr-HR"/>
        </w:rPr>
        <w:tab/>
      </w:r>
    </w:p>
    <w:p w14:paraId="78AC5126" w14:textId="77777777" w:rsidR="00284E03" w:rsidRDefault="00284E03" w:rsidP="00284E03">
      <w:pPr>
        <w:rPr>
          <w:rFonts w:ascii="Times New Roman" w:eastAsia="Times New Roman" w:hAnsi="Times New Roman" w:cs="Times New Roman"/>
          <w:lang w:eastAsia="hr-HR"/>
        </w:rPr>
      </w:pPr>
    </w:p>
    <w:p w14:paraId="05B21545" w14:textId="77777777" w:rsidR="00284E03" w:rsidRDefault="00284E03" w:rsidP="00284E03">
      <w:pPr>
        <w:rPr>
          <w:rFonts w:ascii="Times New Roman" w:eastAsia="Times New Roman" w:hAnsi="Times New Roman" w:cs="Times New Roman"/>
          <w:lang w:eastAsia="hr-HR"/>
        </w:rPr>
      </w:pPr>
    </w:p>
    <w:p w14:paraId="1BE6B24A" w14:textId="77777777" w:rsidR="00284E03" w:rsidRDefault="00284E03" w:rsidP="00284E03">
      <w:pPr>
        <w:rPr>
          <w:rFonts w:ascii="Times New Roman" w:eastAsia="Times New Roman" w:hAnsi="Times New Roman" w:cs="Times New Roman"/>
          <w:lang w:eastAsia="hr-HR"/>
        </w:rPr>
      </w:pPr>
    </w:p>
    <w:p w14:paraId="7C527986" w14:textId="77777777" w:rsidR="00284E03" w:rsidRDefault="00284E03" w:rsidP="00284E03">
      <w:pPr>
        <w:rPr>
          <w:rFonts w:ascii="Times New Roman" w:eastAsia="Times New Roman" w:hAnsi="Times New Roman" w:cs="Times New Roman"/>
          <w:lang w:eastAsia="hr-HR"/>
        </w:rPr>
      </w:pPr>
    </w:p>
    <w:p w14:paraId="030D162D" w14:textId="77777777" w:rsidR="00284E03" w:rsidRDefault="00284E03" w:rsidP="00284E03">
      <w:pPr>
        <w:rPr>
          <w:rFonts w:ascii="Times New Roman" w:eastAsia="Times New Roman" w:hAnsi="Times New Roman" w:cs="Times New Roman"/>
          <w:lang w:eastAsia="hr-HR"/>
        </w:rPr>
      </w:pPr>
    </w:p>
    <w:p w14:paraId="1E3CD294" w14:textId="77777777" w:rsidR="00927155" w:rsidRDefault="00284E03"/>
    <w:sectPr w:rsidR="0092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03"/>
    <w:rsid w:val="001131A1"/>
    <w:rsid w:val="00284E03"/>
    <w:rsid w:val="007C509E"/>
    <w:rsid w:val="00C20C8C"/>
    <w:rsid w:val="00CA46C9"/>
    <w:rsid w:val="00DE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517E"/>
  <w15:chartTrackingRefBased/>
  <w15:docId w15:val="{45AFC77B-3EA8-4099-811B-0C919E2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Bračun</dc:creator>
  <cp:keywords/>
  <dc:description/>
  <cp:lastModifiedBy>Maja Bračun</cp:lastModifiedBy>
  <cp:revision>1</cp:revision>
  <dcterms:created xsi:type="dcterms:W3CDTF">2020-12-03T18:57:00Z</dcterms:created>
  <dcterms:modified xsi:type="dcterms:W3CDTF">2020-12-03T18:58:00Z</dcterms:modified>
</cp:coreProperties>
</file>