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2A" w:rsidRDefault="00B052F3">
      <w:pPr>
        <w:pStyle w:val="Bezproreda"/>
        <w:rPr>
          <w:sz w:val="24"/>
          <w:szCs w:val="24"/>
        </w:rPr>
      </w:pPr>
      <w:bookmarkStart w:id="0" w:name="_GoBack"/>
      <w:bookmarkEnd w:id="0"/>
      <w:r>
        <w:rPr>
          <w:sz w:val="24"/>
          <w:szCs w:val="24"/>
        </w:rPr>
        <w:t>OPĆINA ERNESTINOVO</w:t>
      </w:r>
      <w:r>
        <w:rPr>
          <w:sz w:val="24"/>
          <w:szCs w:val="24"/>
        </w:rPr>
        <w:tab/>
      </w:r>
      <w:r>
        <w:rPr>
          <w:sz w:val="24"/>
          <w:szCs w:val="24"/>
        </w:rPr>
        <w:tab/>
      </w:r>
      <w:r>
        <w:rPr>
          <w:sz w:val="24"/>
          <w:szCs w:val="24"/>
        </w:rPr>
        <w:tab/>
      </w:r>
      <w:r>
        <w:rPr>
          <w:sz w:val="24"/>
          <w:szCs w:val="24"/>
        </w:rPr>
        <w:tab/>
      </w:r>
      <w:r>
        <w:rPr>
          <w:sz w:val="24"/>
          <w:szCs w:val="24"/>
        </w:rPr>
        <w:tab/>
        <w:t>Razina</w:t>
      </w:r>
      <w:r>
        <w:rPr>
          <w:sz w:val="24"/>
          <w:szCs w:val="24"/>
        </w:rPr>
        <w:tab/>
      </w:r>
      <w:r>
        <w:rPr>
          <w:sz w:val="24"/>
          <w:szCs w:val="24"/>
        </w:rPr>
        <w:tab/>
      </w:r>
      <w:r>
        <w:rPr>
          <w:sz w:val="24"/>
          <w:szCs w:val="24"/>
        </w:rPr>
        <w:tab/>
      </w:r>
      <w:r>
        <w:rPr>
          <w:sz w:val="24"/>
          <w:szCs w:val="24"/>
        </w:rPr>
        <w:tab/>
        <w:t>22</w:t>
      </w:r>
    </w:p>
    <w:p w:rsidR="00B4702A" w:rsidRDefault="00B052F3">
      <w:pPr>
        <w:pStyle w:val="Bezproreda"/>
        <w:rPr>
          <w:sz w:val="24"/>
          <w:szCs w:val="24"/>
        </w:rPr>
      </w:pPr>
      <w:r>
        <w:rPr>
          <w:sz w:val="24"/>
          <w:szCs w:val="24"/>
        </w:rPr>
        <w:t>ERNESTINOVO</w:t>
      </w:r>
      <w:r>
        <w:rPr>
          <w:sz w:val="24"/>
          <w:szCs w:val="24"/>
        </w:rPr>
        <w:tab/>
      </w:r>
      <w:r>
        <w:rPr>
          <w:sz w:val="24"/>
          <w:szCs w:val="24"/>
        </w:rPr>
        <w:tab/>
      </w:r>
      <w:r>
        <w:rPr>
          <w:sz w:val="24"/>
          <w:szCs w:val="24"/>
        </w:rPr>
        <w:tab/>
      </w:r>
      <w:r>
        <w:rPr>
          <w:sz w:val="24"/>
          <w:szCs w:val="24"/>
        </w:rPr>
        <w:tab/>
      </w:r>
      <w:r>
        <w:rPr>
          <w:sz w:val="24"/>
          <w:szCs w:val="24"/>
        </w:rPr>
        <w:tab/>
      </w:r>
      <w:r>
        <w:rPr>
          <w:sz w:val="24"/>
          <w:szCs w:val="24"/>
        </w:rPr>
        <w:tab/>
        <w:t>RKP</w:t>
      </w:r>
      <w:r>
        <w:rPr>
          <w:sz w:val="24"/>
          <w:szCs w:val="24"/>
        </w:rPr>
        <w:tab/>
      </w:r>
      <w:r>
        <w:rPr>
          <w:sz w:val="24"/>
          <w:szCs w:val="24"/>
        </w:rPr>
        <w:tab/>
      </w:r>
      <w:r>
        <w:rPr>
          <w:sz w:val="24"/>
          <w:szCs w:val="24"/>
        </w:rPr>
        <w:tab/>
        <w:t xml:space="preserve">        35888</w:t>
      </w:r>
    </w:p>
    <w:p w:rsidR="00B4702A" w:rsidRDefault="00B052F3">
      <w:pPr>
        <w:pStyle w:val="Bezproreda"/>
        <w:rPr>
          <w:sz w:val="24"/>
          <w:szCs w:val="24"/>
        </w:rPr>
      </w:pPr>
      <w:r>
        <w:rPr>
          <w:sz w:val="24"/>
          <w:szCs w:val="24"/>
        </w:rPr>
        <w:t>VL. NAZORA 64</w:t>
      </w:r>
      <w:r>
        <w:rPr>
          <w:sz w:val="24"/>
          <w:szCs w:val="24"/>
        </w:rPr>
        <w:tab/>
      </w:r>
      <w:r>
        <w:rPr>
          <w:sz w:val="24"/>
          <w:szCs w:val="24"/>
        </w:rPr>
        <w:tab/>
      </w:r>
      <w:r>
        <w:rPr>
          <w:sz w:val="24"/>
          <w:szCs w:val="24"/>
        </w:rPr>
        <w:tab/>
      </w:r>
      <w:r>
        <w:rPr>
          <w:sz w:val="24"/>
          <w:szCs w:val="24"/>
        </w:rPr>
        <w:tab/>
      </w:r>
      <w:r>
        <w:rPr>
          <w:sz w:val="24"/>
          <w:szCs w:val="24"/>
        </w:rPr>
        <w:tab/>
      </w:r>
      <w:r>
        <w:rPr>
          <w:sz w:val="24"/>
          <w:szCs w:val="24"/>
        </w:rPr>
        <w:tab/>
        <w:t>Šifra djelatnosti</w:t>
      </w:r>
      <w:r>
        <w:rPr>
          <w:sz w:val="24"/>
          <w:szCs w:val="24"/>
        </w:rPr>
        <w:tab/>
        <w:t xml:space="preserve">          8411</w:t>
      </w:r>
    </w:p>
    <w:p w:rsidR="00B4702A" w:rsidRDefault="00B052F3">
      <w:pPr>
        <w:pStyle w:val="Bezproreda"/>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Matični broj                    0255496</w:t>
      </w:r>
    </w:p>
    <w:p w:rsidR="00B4702A" w:rsidRDefault="00B052F3">
      <w:pPr>
        <w:pStyle w:val="Bezproreda"/>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OIB</w:t>
      </w:r>
      <w:r>
        <w:rPr>
          <w:sz w:val="24"/>
          <w:szCs w:val="24"/>
        </w:rPr>
        <w:tab/>
      </w:r>
      <w:r>
        <w:rPr>
          <w:sz w:val="24"/>
          <w:szCs w:val="24"/>
        </w:rPr>
        <w:tab/>
        <w:t xml:space="preserve">        70167232630</w:t>
      </w:r>
    </w:p>
    <w:p w:rsidR="00B4702A" w:rsidRDefault="00B4702A">
      <w:pPr>
        <w:pStyle w:val="Bezproreda"/>
        <w:rPr>
          <w:sz w:val="24"/>
          <w:szCs w:val="24"/>
        </w:rPr>
      </w:pPr>
    </w:p>
    <w:p w:rsidR="00B4702A" w:rsidRDefault="00B4702A">
      <w:pPr>
        <w:pStyle w:val="Bezproreda"/>
        <w:rPr>
          <w:sz w:val="24"/>
          <w:szCs w:val="24"/>
        </w:rPr>
      </w:pPr>
    </w:p>
    <w:p w:rsidR="00B4702A" w:rsidRDefault="00B052F3">
      <w:pPr>
        <w:pStyle w:val="Bezproreda"/>
        <w:jc w:val="center"/>
        <w:rPr>
          <w:b/>
          <w:sz w:val="24"/>
          <w:szCs w:val="24"/>
        </w:rPr>
      </w:pPr>
      <w:r>
        <w:rPr>
          <w:b/>
          <w:sz w:val="24"/>
          <w:szCs w:val="24"/>
        </w:rPr>
        <w:t xml:space="preserve">BILJEŠKE UZ FINANCIJSKO IZVJEŠĆE </w:t>
      </w:r>
    </w:p>
    <w:p w:rsidR="00B4702A" w:rsidRDefault="00B052F3">
      <w:pPr>
        <w:pStyle w:val="Bezproreda"/>
        <w:jc w:val="center"/>
        <w:rPr>
          <w:b/>
          <w:sz w:val="24"/>
          <w:szCs w:val="24"/>
        </w:rPr>
      </w:pPr>
      <w:r>
        <w:rPr>
          <w:b/>
          <w:sz w:val="24"/>
          <w:szCs w:val="24"/>
        </w:rPr>
        <w:t>ZA RAZDOBLJE 01. SIJEČNJA DO 30. LIPNJA  2019. GODINE</w:t>
      </w:r>
    </w:p>
    <w:p w:rsidR="00B4702A" w:rsidRDefault="00B4702A">
      <w:pPr>
        <w:pStyle w:val="Bezproreda"/>
        <w:jc w:val="center"/>
        <w:rPr>
          <w:b/>
          <w:sz w:val="24"/>
          <w:szCs w:val="24"/>
        </w:rPr>
      </w:pPr>
    </w:p>
    <w:p w:rsidR="00B4702A" w:rsidRDefault="00B052F3">
      <w:pPr>
        <w:pStyle w:val="Bezproreda"/>
        <w:jc w:val="both"/>
        <w:rPr>
          <w:b/>
          <w:sz w:val="24"/>
          <w:szCs w:val="24"/>
        </w:rPr>
      </w:pPr>
      <w:r>
        <w:rPr>
          <w:b/>
          <w:sz w:val="24"/>
          <w:szCs w:val="24"/>
        </w:rPr>
        <w:t>Bilješke uz obrazac PR-RAS</w:t>
      </w:r>
    </w:p>
    <w:p w:rsidR="00B4702A" w:rsidRDefault="00B4702A">
      <w:pPr>
        <w:pStyle w:val="Bezproreda"/>
        <w:jc w:val="both"/>
        <w:rPr>
          <w:b/>
          <w:sz w:val="24"/>
          <w:szCs w:val="24"/>
        </w:rPr>
      </w:pPr>
    </w:p>
    <w:p w:rsidR="00B4702A" w:rsidRDefault="00B052F3">
      <w:pPr>
        <w:pStyle w:val="Bezproreda"/>
        <w:jc w:val="both"/>
        <w:rPr>
          <w:sz w:val="24"/>
          <w:szCs w:val="24"/>
        </w:rPr>
      </w:pPr>
      <w:r>
        <w:rPr>
          <w:sz w:val="24"/>
          <w:szCs w:val="24"/>
        </w:rPr>
        <w:t>U razdoblju od  01. siječnja do 30. lipnja  2019. godine Općina je ostvarila prihode u iznosu od 4.458.715,00 kuna (AOP 629) što iznosi 147,6%  u odnosu na isto razdoblje prethodne godine.</w:t>
      </w:r>
    </w:p>
    <w:p w:rsidR="00B4702A" w:rsidRDefault="00B4702A">
      <w:pPr>
        <w:pStyle w:val="Bezproreda"/>
        <w:jc w:val="both"/>
        <w:rPr>
          <w:sz w:val="24"/>
          <w:szCs w:val="24"/>
        </w:rPr>
      </w:pPr>
    </w:p>
    <w:p w:rsidR="00B4702A" w:rsidRDefault="00B052F3">
      <w:pPr>
        <w:pStyle w:val="Bezproreda"/>
        <w:jc w:val="both"/>
        <w:rPr>
          <w:sz w:val="24"/>
          <w:szCs w:val="24"/>
        </w:rPr>
      </w:pPr>
      <w:r>
        <w:rPr>
          <w:sz w:val="24"/>
          <w:szCs w:val="24"/>
        </w:rPr>
        <w:t>Kod prihoda najveće odstupanje je vidljivo na AOP-u  066 (pomoći temeljem prijenosa EU sredstava). Sredstva su namjenjena  za provođenje programa ZAŽELI, čega u istom razdoblju prethodne godine nije bilo. Također je na AOP-u 074  (prihodi od  imovine) vidljivo odstupanje, a uglavnom se odnosi na prihode od zakupa poljoprivrednog zemljišta u vlasništvu RH.</w:t>
      </w:r>
    </w:p>
    <w:p w:rsidR="00B4702A" w:rsidRDefault="00B4702A">
      <w:pPr>
        <w:pStyle w:val="Bezproreda"/>
        <w:jc w:val="both"/>
        <w:rPr>
          <w:sz w:val="24"/>
          <w:szCs w:val="24"/>
        </w:rPr>
      </w:pPr>
    </w:p>
    <w:p w:rsidR="00B4702A" w:rsidRDefault="00B052F3">
      <w:pPr>
        <w:pStyle w:val="Bezproreda"/>
        <w:jc w:val="both"/>
        <w:rPr>
          <w:sz w:val="24"/>
          <w:szCs w:val="24"/>
        </w:rPr>
      </w:pPr>
      <w:r>
        <w:rPr>
          <w:sz w:val="24"/>
          <w:szCs w:val="24"/>
        </w:rPr>
        <w:t>Rashodi su ostvareni u iznosu od 2.651.813,00  kuna što iznosi 140,7% u odnosu na ostvareno u prethodnoj godini.  Do odstupanja je došlo najvećim dijelom na AOP-u 149 (rashodi za zaposlene) jer se u ovoj godini provodi program ZAŽELI sa petnaest zaposlenih žena, te je zaposleno četiri osobe putem javnih radova.</w:t>
      </w:r>
    </w:p>
    <w:p w:rsidR="00B4702A" w:rsidRDefault="00B4702A">
      <w:pPr>
        <w:pStyle w:val="Bezproreda"/>
        <w:jc w:val="both"/>
        <w:rPr>
          <w:sz w:val="24"/>
          <w:szCs w:val="24"/>
        </w:rPr>
      </w:pPr>
    </w:p>
    <w:p w:rsidR="00B4702A" w:rsidRDefault="00B4702A">
      <w:pPr>
        <w:pStyle w:val="Bezproreda"/>
        <w:jc w:val="both"/>
        <w:rPr>
          <w:sz w:val="24"/>
          <w:szCs w:val="24"/>
        </w:rPr>
      </w:pPr>
    </w:p>
    <w:p w:rsidR="00B4702A" w:rsidRDefault="00B052F3">
      <w:pPr>
        <w:pStyle w:val="Bezproreda"/>
        <w:jc w:val="both"/>
        <w:rPr>
          <w:sz w:val="24"/>
          <w:szCs w:val="24"/>
        </w:rPr>
      </w:pPr>
      <w:r>
        <w:rPr>
          <w:sz w:val="24"/>
          <w:szCs w:val="24"/>
        </w:rPr>
        <w:t>U ovom izvještajnom razdoblju ostvaren je višak  prihoda u iznosu od 1.414.215,00 (AOP 631)  te sa prenesenim ukupnim viškom prihoda  iz prethodne godine u iznosu od 1.792.385,00 kune (AOP 633)   ostvaren je višak  prihoda   raspoloživ u sljedećem razdoblju u iznosu od  3.206.600,00  kuna (AOP 635).</w:t>
      </w:r>
    </w:p>
    <w:p w:rsidR="00B4702A" w:rsidRDefault="00B4702A">
      <w:pPr>
        <w:pStyle w:val="Bezproreda"/>
        <w:jc w:val="both"/>
        <w:rPr>
          <w:sz w:val="24"/>
          <w:szCs w:val="24"/>
        </w:rPr>
      </w:pPr>
    </w:p>
    <w:p w:rsidR="00B4702A" w:rsidRDefault="00B052F3">
      <w:pPr>
        <w:pStyle w:val="Bezproreda"/>
        <w:jc w:val="both"/>
        <w:rPr>
          <w:b/>
          <w:sz w:val="24"/>
          <w:szCs w:val="24"/>
        </w:rPr>
      </w:pPr>
      <w:r>
        <w:rPr>
          <w:b/>
          <w:sz w:val="24"/>
          <w:szCs w:val="24"/>
        </w:rPr>
        <w:t>Bilješke uz obrazac OBVEZE</w:t>
      </w:r>
    </w:p>
    <w:p w:rsidR="00B4702A" w:rsidRDefault="00B4702A">
      <w:pPr>
        <w:pStyle w:val="Bezproreda"/>
        <w:jc w:val="both"/>
        <w:rPr>
          <w:b/>
          <w:sz w:val="24"/>
          <w:szCs w:val="24"/>
        </w:rPr>
      </w:pPr>
    </w:p>
    <w:p w:rsidR="00B4702A" w:rsidRDefault="00B052F3">
      <w:pPr>
        <w:pStyle w:val="Bezproreda"/>
        <w:jc w:val="both"/>
        <w:rPr>
          <w:sz w:val="24"/>
          <w:szCs w:val="24"/>
        </w:rPr>
      </w:pPr>
      <w:r>
        <w:rPr>
          <w:sz w:val="24"/>
          <w:szCs w:val="24"/>
        </w:rPr>
        <w:t>Stanje obveza na kraju izvještajnog razdoblja 01.01.-30.06.2019. godine  iznosi 518.146,00 kuna (AOP 036). Od toga su dospjele 58.948,00,00 kuna te su podmirenje do sastavljana ovog izvješća. Nedospjele  obveze iznose 459.198,00 kuna od toga 186.971,71 kuna odnosi se na EU predujmove uplaćene za financiranje programa ZAŽELI. Preknjiženje  predujma  na prihode vrši se po nastanku troškova vezanih uz provođenje projekta.</w:t>
      </w:r>
    </w:p>
    <w:p w:rsidR="00B4702A" w:rsidRDefault="00B4702A">
      <w:pPr>
        <w:pStyle w:val="Bezproreda"/>
        <w:jc w:val="both"/>
        <w:rPr>
          <w:sz w:val="24"/>
          <w:szCs w:val="24"/>
        </w:rPr>
      </w:pPr>
    </w:p>
    <w:p w:rsidR="00B4702A" w:rsidRDefault="00B4702A">
      <w:pPr>
        <w:pStyle w:val="Bezproreda"/>
        <w:jc w:val="both"/>
        <w:rPr>
          <w:sz w:val="24"/>
          <w:szCs w:val="24"/>
        </w:rPr>
      </w:pPr>
    </w:p>
    <w:p w:rsidR="00B4702A" w:rsidRDefault="00B052F3">
      <w:pPr>
        <w:pStyle w:val="Bezproreda"/>
        <w:jc w:val="both"/>
        <w:rPr>
          <w:sz w:val="24"/>
          <w:szCs w:val="24"/>
        </w:rPr>
      </w:pPr>
      <w:r>
        <w:rPr>
          <w:sz w:val="24"/>
          <w:szCs w:val="24"/>
        </w:rPr>
        <w:t>U Ernestinovu 09. srpnja  2019. godine.</w:t>
      </w:r>
      <w:r>
        <w:rPr>
          <w:sz w:val="24"/>
          <w:szCs w:val="24"/>
        </w:rPr>
        <w:tab/>
      </w:r>
      <w:r>
        <w:rPr>
          <w:sz w:val="24"/>
          <w:szCs w:val="24"/>
        </w:rPr>
        <w:tab/>
      </w:r>
      <w:r>
        <w:rPr>
          <w:sz w:val="24"/>
          <w:szCs w:val="24"/>
        </w:rPr>
        <w:tab/>
      </w:r>
      <w:r>
        <w:rPr>
          <w:sz w:val="24"/>
          <w:szCs w:val="24"/>
        </w:rPr>
        <w:tab/>
        <w:t>Zakonski predstavnik</w:t>
      </w:r>
    </w:p>
    <w:p w:rsidR="00B4702A" w:rsidRDefault="00B4702A">
      <w:pPr>
        <w:pStyle w:val="Bezproreda"/>
        <w:jc w:val="both"/>
        <w:rPr>
          <w:sz w:val="24"/>
          <w:szCs w:val="24"/>
        </w:rPr>
      </w:pPr>
    </w:p>
    <w:p w:rsidR="00B4702A" w:rsidRDefault="00B4702A">
      <w:pPr>
        <w:pStyle w:val="Bezproreda"/>
        <w:jc w:val="both"/>
        <w:rPr>
          <w:sz w:val="24"/>
          <w:szCs w:val="24"/>
        </w:rPr>
      </w:pPr>
    </w:p>
    <w:p w:rsidR="00B4702A" w:rsidRDefault="00B052F3">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Marijana Junušić</w:t>
      </w:r>
    </w:p>
    <w:p w:rsidR="00B4702A" w:rsidRDefault="00B4702A">
      <w:pPr>
        <w:pStyle w:val="Bezproreda"/>
        <w:jc w:val="both"/>
        <w:rPr>
          <w:sz w:val="24"/>
          <w:szCs w:val="24"/>
        </w:rPr>
      </w:pPr>
    </w:p>
    <w:sectPr w:rsidR="00B4702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EB" w:rsidRDefault="00D151EB">
      <w:pPr>
        <w:spacing w:after="0" w:line="240" w:lineRule="auto"/>
      </w:pPr>
      <w:r>
        <w:separator/>
      </w:r>
    </w:p>
  </w:endnote>
  <w:endnote w:type="continuationSeparator" w:id="0">
    <w:p w:rsidR="00D151EB" w:rsidRDefault="00D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EB" w:rsidRDefault="00D151EB">
      <w:pPr>
        <w:spacing w:after="0" w:line="240" w:lineRule="auto"/>
      </w:pPr>
      <w:r>
        <w:rPr>
          <w:color w:val="000000"/>
        </w:rPr>
        <w:separator/>
      </w:r>
    </w:p>
  </w:footnote>
  <w:footnote w:type="continuationSeparator" w:id="0">
    <w:p w:rsidR="00D151EB" w:rsidRDefault="00D15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2A"/>
    <w:rsid w:val="00B052F3"/>
    <w:rsid w:val="00B42A67"/>
    <w:rsid w:val="00B4702A"/>
    <w:rsid w:val="00C91826"/>
    <w:rsid w:val="00D151EB"/>
    <w:rsid w:val="00FE6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66407-EAFA-44D5-9182-A327E10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Opcina_Ernestinovo Opcinaen</cp:lastModifiedBy>
  <cp:revision>2</cp:revision>
  <cp:lastPrinted>2019-04-09T04:21:00Z</cp:lastPrinted>
  <dcterms:created xsi:type="dcterms:W3CDTF">2019-07-12T06:13:00Z</dcterms:created>
  <dcterms:modified xsi:type="dcterms:W3CDTF">2019-07-12T06:13:00Z</dcterms:modified>
</cp:coreProperties>
</file>