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1" w:rsidRPr="00A27E0C" w:rsidRDefault="00BA09E7" w:rsidP="00BA09E7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N</w:t>
      </w:r>
      <w:r w:rsidR="009C4D27">
        <w:rPr>
          <w:rFonts w:ascii="Times New Roman" w:hAnsi="Times New Roman" w:cs="Times New Roman"/>
          <w:sz w:val="23"/>
          <w:szCs w:val="23"/>
        </w:rPr>
        <w:t>a</w:t>
      </w:r>
      <w:r w:rsidRPr="00A27E0C">
        <w:rPr>
          <w:rFonts w:ascii="Times New Roman" w:hAnsi="Times New Roman" w:cs="Times New Roman"/>
          <w:sz w:val="23"/>
          <w:szCs w:val="23"/>
        </w:rPr>
        <w:t xml:space="preserve"> temelju članka 20. stavka 1. Zakona o održivom gospodarenju otpadom („Narodne novine“ broj 94/13), te članka 28. Statuta Općine Ernestinovo („Službeni glasnik“ Općine Ernestinovo broj 1/13 i 4/13) Općinsko</w:t>
      </w:r>
      <w:r w:rsidR="00D22572">
        <w:rPr>
          <w:rFonts w:ascii="Times New Roman" w:hAnsi="Times New Roman" w:cs="Times New Roman"/>
          <w:sz w:val="23"/>
          <w:szCs w:val="23"/>
        </w:rPr>
        <w:t xml:space="preserve"> vijeće Općine Ernestinovo na 2</w:t>
      </w:r>
      <w:r w:rsidR="005163B9">
        <w:rPr>
          <w:rFonts w:ascii="Times New Roman" w:hAnsi="Times New Roman" w:cs="Times New Roman"/>
          <w:sz w:val="23"/>
          <w:szCs w:val="23"/>
        </w:rPr>
        <w:t>9</w:t>
      </w:r>
      <w:r w:rsidRPr="00A27E0C">
        <w:rPr>
          <w:rFonts w:ascii="Times New Roman" w:hAnsi="Times New Roman" w:cs="Times New Roman"/>
          <w:sz w:val="23"/>
          <w:szCs w:val="23"/>
        </w:rPr>
        <w:t xml:space="preserve">. sjednici </w:t>
      </w:r>
      <w:r w:rsidR="00D22572">
        <w:rPr>
          <w:rFonts w:ascii="Times New Roman" w:hAnsi="Times New Roman" w:cs="Times New Roman"/>
          <w:sz w:val="23"/>
          <w:szCs w:val="23"/>
        </w:rPr>
        <w:t xml:space="preserve">održanoj </w:t>
      </w:r>
      <w:r w:rsidR="00F348B1">
        <w:rPr>
          <w:rFonts w:ascii="Times New Roman" w:hAnsi="Times New Roman" w:cs="Times New Roman"/>
          <w:sz w:val="23"/>
          <w:szCs w:val="23"/>
        </w:rPr>
        <w:t xml:space="preserve">14. ožujka </w:t>
      </w:r>
      <w:r w:rsidR="00D22572">
        <w:rPr>
          <w:rFonts w:ascii="Times New Roman" w:hAnsi="Times New Roman" w:cs="Times New Roman"/>
          <w:sz w:val="23"/>
          <w:szCs w:val="23"/>
        </w:rPr>
        <w:t>201</w:t>
      </w:r>
      <w:r w:rsidR="005163B9">
        <w:rPr>
          <w:rFonts w:ascii="Times New Roman" w:hAnsi="Times New Roman" w:cs="Times New Roman"/>
          <w:sz w:val="23"/>
          <w:szCs w:val="23"/>
        </w:rPr>
        <w:t>7</w:t>
      </w:r>
      <w:r w:rsidR="00D22572">
        <w:rPr>
          <w:rFonts w:ascii="Times New Roman" w:hAnsi="Times New Roman" w:cs="Times New Roman"/>
          <w:sz w:val="23"/>
          <w:szCs w:val="23"/>
        </w:rPr>
        <w:t>.</w:t>
      </w:r>
      <w:r w:rsidRPr="00A27E0C">
        <w:rPr>
          <w:rFonts w:ascii="Times New Roman" w:hAnsi="Times New Roman" w:cs="Times New Roman"/>
          <w:sz w:val="23"/>
          <w:szCs w:val="23"/>
        </w:rPr>
        <w:t xml:space="preserve"> usvaja</w:t>
      </w:r>
    </w:p>
    <w:p w:rsidR="00A27E0C" w:rsidRDefault="00A27E0C" w:rsidP="00BA09E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IZVJEŠĆE</w:t>
      </w: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o provedbi Plana gospodarenja otpadom</w:t>
      </w: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za Općinu Ernestinovo</w:t>
      </w:r>
    </w:p>
    <w:p w:rsidR="00A8534C" w:rsidRPr="00A27E0C" w:rsidRDefault="00A8534C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za </w:t>
      </w:r>
      <w:r w:rsidR="005163B9">
        <w:rPr>
          <w:rFonts w:ascii="Times New Roman" w:hAnsi="Times New Roman" w:cs="Times New Roman"/>
          <w:b/>
          <w:sz w:val="23"/>
          <w:szCs w:val="23"/>
        </w:rPr>
        <w:t>2016</w:t>
      </w:r>
      <w:r w:rsidR="00D22572">
        <w:rPr>
          <w:rFonts w:ascii="Times New Roman" w:hAnsi="Times New Roman" w:cs="Times New Roman"/>
          <w:b/>
          <w:sz w:val="23"/>
          <w:szCs w:val="23"/>
        </w:rPr>
        <w:t>.</w:t>
      </w:r>
      <w:r w:rsidRPr="00A27E0C">
        <w:rPr>
          <w:rFonts w:ascii="Times New Roman" w:hAnsi="Times New Roman" w:cs="Times New Roman"/>
          <w:b/>
          <w:sz w:val="23"/>
          <w:szCs w:val="23"/>
        </w:rPr>
        <w:t xml:space="preserve"> godinu</w:t>
      </w:r>
    </w:p>
    <w:p w:rsidR="00BA09E7" w:rsidRDefault="00BA09E7" w:rsidP="00BA09E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27E0C" w:rsidRPr="00A27E0C" w:rsidRDefault="00A27E0C" w:rsidP="00BA09E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64F31" w:rsidRPr="00A27E0C" w:rsidRDefault="00B64F31" w:rsidP="00B64F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UVOD</w:t>
      </w:r>
    </w:p>
    <w:p w:rsidR="009C3FF1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Stavkom 1. članka 20. Zakona o održivom gospodarenju otpadom („Narodne novine“, broj 94/13) propisano je da jedinica lokalne samouprave dostavlja godišnje izvješće o provedbi Plana gospodarenja otpadom jedinici područne (regionalne) samouprave do 31. ožujka tekuće godine za prethodnu kalendarsku godinu i objavljuje ga u svom službenom glasilu.</w:t>
      </w:r>
    </w:p>
    <w:p w:rsidR="00415B29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Člankom 174. Zakona o održivom gospodarenju otpadom („Narodne novine“, broj 94/13) propisano je da postojeći županijski, gradski i općinski planovi gospodarenja otpadom koji su doneseni na temelju Zakona o otpadu (»Narodne novine«, br. 178/04., 111/06., 60/08. i 87/09.) do dana stupanja na snagu ovoga Zakona, ostaju na snazi do isteka roka na koji su doneseni u dijelu u kojem nisu u suprotnosti s odredbama ovoga Zakona i Plana.</w:t>
      </w:r>
    </w:p>
    <w:p w:rsidR="003733C7" w:rsidRPr="00A27E0C" w:rsidRDefault="003733C7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Općina Ernestinovo obuhvaća tri naselja: Divoš, Ernestinovo i Laslovo.</w:t>
      </w:r>
    </w:p>
    <w:p w:rsidR="003733C7" w:rsidRPr="00A27E0C" w:rsidRDefault="003733C7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Prema popisu stanovništva iz 2011. godine, Općina Ernestinovo ima 2.189 stanovnika.</w:t>
      </w:r>
    </w:p>
    <w:p w:rsidR="00415B29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5B29" w:rsidRPr="00A27E0C" w:rsidRDefault="00415B29" w:rsidP="00415B2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OBVEZE JEDINICE LOKALNE SAMOUPRAVE</w:t>
      </w:r>
    </w:p>
    <w:p w:rsidR="00415B29" w:rsidRPr="00A27E0C" w:rsidRDefault="00415B29" w:rsidP="00415B29">
      <w:pPr>
        <w:pStyle w:val="Odlomakpopisa"/>
        <w:rPr>
          <w:rFonts w:ascii="Times New Roman" w:hAnsi="Times New Roman" w:cs="Times New Roman"/>
          <w:b/>
          <w:sz w:val="23"/>
          <w:szCs w:val="23"/>
        </w:rPr>
      </w:pPr>
    </w:p>
    <w:p w:rsidR="00A57D59" w:rsidRPr="00A27E0C" w:rsidRDefault="00A57D59" w:rsidP="00A57D59">
      <w:pPr>
        <w:pStyle w:val="t-9-8"/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Jedinica lokalne samouprave dužna je na svom području osigurati:</w:t>
      </w:r>
    </w:p>
    <w:p w:rsidR="00A57D59" w:rsidRPr="00A27E0C" w:rsidRDefault="00A57D59" w:rsidP="00A57D59">
      <w:pPr>
        <w:pStyle w:val="t-9-8"/>
        <w:spacing w:before="0" w:beforeAutospacing="0" w:after="0" w:afterAutospacing="0"/>
        <w:jc w:val="both"/>
        <w:rPr>
          <w:sz w:val="23"/>
          <w:szCs w:val="23"/>
        </w:rPr>
      </w:pP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javnu uslugu prikupljanja miješanog komunalnog otpada, i biorazgradivog komunalnog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odvojeno prikupljanje otpadnog papira, metala, stakla, plastike i tekstila te krupnog (glomaznog) komunalnog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sprječavanje odbacivanja otpada na način suprotan ovom Zakonu te uklanjanje tako odbačenog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provedbu Plana,</w:t>
      </w:r>
    </w:p>
    <w:p w:rsidR="00A57D59" w:rsidRPr="00A27E0C" w:rsidRDefault="002D495E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donošenje i provedbu P</w:t>
      </w:r>
      <w:r w:rsidR="00A57D59" w:rsidRPr="00A27E0C">
        <w:rPr>
          <w:sz w:val="23"/>
          <w:szCs w:val="23"/>
        </w:rPr>
        <w:t xml:space="preserve">lana gospodarenja otpadom jedinice lokalne samouprave, 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p</w:t>
      </w:r>
      <w:r w:rsidR="002D495E" w:rsidRPr="00A27E0C">
        <w:rPr>
          <w:sz w:val="23"/>
          <w:szCs w:val="23"/>
        </w:rPr>
        <w:t>rovođenje izobrazno-informativnih</w:t>
      </w:r>
      <w:r w:rsidRPr="00A27E0C">
        <w:rPr>
          <w:sz w:val="23"/>
          <w:szCs w:val="23"/>
        </w:rPr>
        <w:t xml:space="preserve"> aktivnosti na svom području</w:t>
      </w:r>
      <w:r w:rsidR="003A243B" w:rsidRPr="00A27E0C">
        <w:rPr>
          <w:sz w:val="23"/>
          <w:szCs w:val="23"/>
        </w:rPr>
        <w:t>,</w:t>
      </w:r>
      <w:r w:rsidRPr="00A27E0C">
        <w:rPr>
          <w:sz w:val="23"/>
          <w:szCs w:val="23"/>
        </w:rPr>
        <w:t xml:space="preserve"> 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mogućnost provedbe akcija prikupljanja otpada.</w:t>
      </w:r>
    </w:p>
    <w:p w:rsidR="00A57D59" w:rsidRPr="00A27E0C" w:rsidRDefault="00A57D59" w:rsidP="00A57D59">
      <w:pPr>
        <w:pStyle w:val="t-9-8"/>
        <w:spacing w:before="0" w:beforeAutospacing="0" w:after="0" w:afterAutospacing="0"/>
        <w:ind w:left="1490"/>
        <w:jc w:val="both"/>
        <w:rPr>
          <w:sz w:val="23"/>
          <w:szCs w:val="23"/>
        </w:rPr>
      </w:pPr>
    </w:p>
    <w:p w:rsidR="00A57D59" w:rsidRPr="00A27E0C" w:rsidRDefault="00A57D59" w:rsidP="00A57D59">
      <w:pPr>
        <w:pStyle w:val="t-9-8"/>
        <w:spacing w:before="0" w:beforeAutospacing="0" w:after="0" w:afterAutospacing="0"/>
        <w:ind w:left="1490"/>
        <w:jc w:val="both"/>
        <w:rPr>
          <w:sz w:val="23"/>
          <w:szCs w:val="23"/>
        </w:rPr>
      </w:pPr>
    </w:p>
    <w:p w:rsidR="00A57D59" w:rsidRPr="00A27E0C" w:rsidRDefault="00A27E0C" w:rsidP="00A27E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b/>
          <w:sz w:val="23"/>
          <w:szCs w:val="23"/>
          <w:highlight w:val="lightGray"/>
        </w:rPr>
        <w:br w:type="page"/>
      </w:r>
      <w:r w:rsidR="00A57D59" w:rsidRPr="00A27E0C">
        <w:rPr>
          <w:rFonts w:ascii="Times New Roman" w:hAnsi="Times New Roman" w:cs="Times New Roman"/>
          <w:b/>
          <w:sz w:val="23"/>
          <w:szCs w:val="23"/>
        </w:rPr>
        <w:lastRenderedPageBreak/>
        <w:t>PLAN GOSPODARENJA OTPADOM</w:t>
      </w:r>
      <w:r w:rsidR="00522735" w:rsidRPr="00A27E0C">
        <w:rPr>
          <w:rFonts w:ascii="Times New Roman" w:hAnsi="Times New Roman" w:cs="Times New Roman"/>
          <w:b/>
          <w:sz w:val="23"/>
          <w:szCs w:val="23"/>
        </w:rPr>
        <w:t xml:space="preserve"> OPĆINE ERNESTINOVO</w:t>
      </w:r>
      <w:r w:rsidR="00A57D59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F3ED5" w:rsidRPr="00A27E0C" w:rsidRDefault="006F3ED5" w:rsidP="006F3ED5">
      <w:pPr>
        <w:pStyle w:val="t-9-8"/>
        <w:spacing w:before="0" w:beforeAutospacing="0" w:after="0" w:afterAutospacing="0"/>
        <w:ind w:left="360"/>
        <w:rPr>
          <w:b/>
          <w:sz w:val="23"/>
          <w:szCs w:val="23"/>
        </w:rPr>
      </w:pPr>
    </w:p>
    <w:p w:rsidR="00522735" w:rsidRPr="00A27E0C" w:rsidRDefault="00522735" w:rsidP="005227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7E0C">
        <w:rPr>
          <w:rFonts w:ascii="Times New Roman" w:hAnsi="Times New Roman" w:cs="Times New Roman"/>
          <w:color w:val="000000"/>
          <w:sz w:val="23"/>
          <w:szCs w:val="23"/>
        </w:rPr>
        <w:t>Plan gospodarenja otpadom Općine Ernestinovo izrađen je sukladno Zakonu o otpadu („Narodne novine“ broj 178/04, 158/05 i 111/06) te je sukladno članku. 174. Zakona o održivom gospodarenju otpadom na snazi do isteka roka na koji je donesen u dijelu koji nije u suprotnosti sa odredbama Zakona o održivom gospodarenju otpadom.</w:t>
      </w:r>
    </w:p>
    <w:p w:rsidR="00522735" w:rsidRPr="00A27E0C" w:rsidRDefault="00522735" w:rsidP="00415B29">
      <w:pPr>
        <w:pStyle w:val="Odlomakpopis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Izmjene i dopune Plana nisu donesene.</w:t>
      </w:r>
    </w:p>
    <w:p w:rsidR="00522735" w:rsidRPr="00A27E0C" w:rsidRDefault="00522735" w:rsidP="00522735">
      <w:p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Planom su predviđene:</w:t>
      </w:r>
    </w:p>
    <w:p w:rsidR="003E6549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mjere odvojenog sakupljanja komunalnog otpada</w:t>
      </w:r>
    </w:p>
    <w:p w:rsidR="00522735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mjere za upravljanje i nadzor odlagališta za komunalni otpad</w:t>
      </w:r>
    </w:p>
    <w:p w:rsidR="00522735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aktivnosti na sanaciji neuređenih odlagališta, u slučaju njihovog pojavljivanja</w:t>
      </w:r>
    </w:p>
    <w:p w:rsidR="005163B9" w:rsidRDefault="005163B9" w:rsidP="000B407D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Vlada Republike Hrvatske usvojila je početkom 2017. godine </w:t>
      </w:r>
      <w:r w:rsidRPr="005163B9">
        <w:rPr>
          <w:rFonts w:ascii="Times New Roman" w:hAnsi="Times New Roman" w:cs="Times New Roman"/>
          <w:sz w:val="23"/>
          <w:szCs w:val="23"/>
        </w:rPr>
        <w:t xml:space="preserve">Plan gospodarenja otpadom Republike Hrvatske za razdoblje 2017.-2022.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5163B9">
        <w:rPr>
          <w:rFonts w:ascii="Times New Roman" w:hAnsi="Times New Roman" w:cs="Times New Roman"/>
          <w:sz w:val="23"/>
          <w:szCs w:val="23"/>
        </w:rPr>
        <w:t xml:space="preserve">onošenje Plana važan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 w:rsidRPr="005163B9">
        <w:rPr>
          <w:rFonts w:ascii="Times New Roman" w:hAnsi="Times New Roman" w:cs="Times New Roman"/>
          <w:sz w:val="23"/>
          <w:szCs w:val="23"/>
        </w:rPr>
        <w:t>preduvjet za korištenje sredstava iz Operativnog programa Konkurentnost i kohezija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163B9" w:rsidRDefault="005163B9" w:rsidP="000B407D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63B9">
        <w:rPr>
          <w:rFonts w:ascii="Times New Roman" w:hAnsi="Times New Roman" w:cs="Times New Roman"/>
          <w:sz w:val="23"/>
          <w:szCs w:val="23"/>
        </w:rPr>
        <w:t xml:space="preserve">Plan </w:t>
      </w:r>
      <w:r>
        <w:rPr>
          <w:rFonts w:ascii="Times New Roman" w:hAnsi="Times New Roman" w:cs="Times New Roman"/>
          <w:sz w:val="23"/>
          <w:szCs w:val="23"/>
        </w:rPr>
        <w:t xml:space="preserve">će </w:t>
      </w:r>
      <w:r w:rsidRPr="005163B9">
        <w:rPr>
          <w:rFonts w:ascii="Times New Roman" w:hAnsi="Times New Roman" w:cs="Times New Roman"/>
          <w:sz w:val="23"/>
          <w:szCs w:val="23"/>
        </w:rPr>
        <w:t>omogućiti razvoj industrije recikliranja, otvaranje novih zelenih radnih mjesta i ispunjavanje preuzetih EU obveza u pogledu recikliranja.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163B9">
        <w:rPr>
          <w:rFonts w:ascii="Times New Roman" w:hAnsi="Times New Roman" w:cs="Times New Roman"/>
          <w:sz w:val="23"/>
          <w:szCs w:val="23"/>
        </w:rPr>
        <w:t>U prvom planu su sprječavanje nastanka otpada, ponovna uporaba, recikliranje i kompostiranje. Važnije mjere iz Plana su odvojeno prikupljanje na kućnom pragu, uvođenje stimulativnih mjera pri naplati javne usluge prikupljanja otpada prema sastavu i količini te uvođenje naknade za odlaganje komunalnog otpada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163B9" w:rsidRDefault="005163B9" w:rsidP="000B407D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63B9">
        <w:rPr>
          <w:rFonts w:ascii="Times New Roman" w:hAnsi="Times New Roman" w:cs="Times New Roman"/>
          <w:sz w:val="23"/>
          <w:szCs w:val="23"/>
        </w:rPr>
        <w:t>Okosnica Plana su reciklažna dvorišta, reciklažni centri sa sortirnicama i kompostištima u kojima će se za recikliranje pripremati odvojeno prikupljeni otpad. Za neizgrađene Centre za gospodarenje otpadom potrebno je prilagoditi kapacitet i sadržaje ciljevima ovog Plana zbog čega je za svaki od njih potrebno izraditi studiju izvedivosti.</w:t>
      </w:r>
    </w:p>
    <w:p w:rsidR="005163B9" w:rsidRDefault="005163B9" w:rsidP="000B407D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63B9">
        <w:rPr>
          <w:rFonts w:ascii="Times New Roman" w:hAnsi="Times New Roman" w:cs="Times New Roman"/>
          <w:sz w:val="23"/>
          <w:szCs w:val="23"/>
        </w:rPr>
        <w:t>Neke od najznačajnijih mjera su poticanje odvojenog sakupljanja papira, kartona, metala, stakla, plastike i biootpada, odvojeno prikupljanje otpada na kućnom pragu, uvođenje stimulativnih mjera pri naplati javne usluge prikupljanja komunalnog otpada prema sastavu i količini, uvođenje naknade za odlaganje komunalnog otpada, poticanje kućnog i komunalnog kompostiranja, izgradnja sortirnica, informatička potpora praćenju tokova otpada i niz edukativno – informativnih mjera.</w:t>
      </w:r>
    </w:p>
    <w:p w:rsidR="009B7878" w:rsidRDefault="009B7878" w:rsidP="009B7878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7878">
        <w:rPr>
          <w:rFonts w:ascii="Times New Roman" w:hAnsi="Times New Roman" w:cs="Times New Roman"/>
          <w:sz w:val="23"/>
          <w:szCs w:val="23"/>
        </w:rPr>
        <w:t>U svrhu podrške JLS u izradi Planova gospodarenja otpadom, izradit će se smjernice za njihovu  pripremu.  Smjernice  za  izradu  Planova  će  pomoći  u  planiranju  sustava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7878">
        <w:rPr>
          <w:rFonts w:ascii="Times New Roman" w:hAnsi="Times New Roman" w:cs="Times New Roman"/>
          <w:sz w:val="23"/>
          <w:szCs w:val="23"/>
        </w:rPr>
        <w:t>gospodarenja otpadom i promicati razvoj koherentnih odgovarajućih praksi u planiranju na području RH, a u skladu sa zahtjevima relevantnog zakonodavstva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E3AFC" w:rsidRDefault="009B7878" w:rsidP="009B7878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donošenju smjernica </w:t>
      </w:r>
      <w:r w:rsidRPr="009B787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potrebno je pristupiti izradi novog </w:t>
      </w:r>
      <w:r w:rsidR="00522735" w:rsidRPr="00A27E0C">
        <w:rPr>
          <w:rFonts w:ascii="Times New Roman" w:hAnsi="Times New Roman" w:cs="Times New Roman"/>
          <w:sz w:val="23"/>
          <w:szCs w:val="23"/>
        </w:rPr>
        <w:t>Plan</w:t>
      </w:r>
      <w:r w:rsidR="000B407D">
        <w:rPr>
          <w:rFonts w:ascii="Times New Roman" w:hAnsi="Times New Roman" w:cs="Times New Roman"/>
          <w:sz w:val="23"/>
          <w:szCs w:val="23"/>
        </w:rPr>
        <w:t>a</w:t>
      </w:r>
      <w:r w:rsidR="00522735" w:rsidRPr="00A27E0C">
        <w:rPr>
          <w:rFonts w:ascii="Times New Roman" w:hAnsi="Times New Roman" w:cs="Times New Roman"/>
          <w:sz w:val="23"/>
          <w:szCs w:val="23"/>
        </w:rPr>
        <w:t xml:space="preserve"> gospodarenja otpadom Općine Ernestinovo, </w:t>
      </w:r>
      <w:r w:rsidR="000B407D">
        <w:rPr>
          <w:rFonts w:ascii="Times New Roman" w:hAnsi="Times New Roman" w:cs="Times New Roman"/>
          <w:sz w:val="23"/>
          <w:szCs w:val="23"/>
        </w:rPr>
        <w:t>s</w:t>
      </w:r>
      <w:r w:rsidR="00522735" w:rsidRPr="00A27E0C">
        <w:rPr>
          <w:rFonts w:ascii="Times New Roman" w:hAnsi="Times New Roman" w:cs="Times New Roman"/>
          <w:sz w:val="23"/>
          <w:szCs w:val="23"/>
        </w:rPr>
        <w:t xml:space="preserve">ukladno odredbama Zakona o održivom gospodarenju </w:t>
      </w:r>
      <w:r w:rsidR="00F7522D" w:rsidRPr="00A27E0C">
        <w:rPr>
          <w:rFonts w:ascii="Times New Roman" w:hAnsi="Times New Roman" w:cs="Times New Roman"/>
          <w:sz w:val="23"/>
          <w:szCs w:val="23"/>
        </w:rPr>
        <w:t>otpadom („Narodne novine“ broj 94/13).</w:t>
      </w:r>
    </w:p>
    <w:p w:rsidR="009B7878" w:rsidRPr="009B7878" w:rsidRDefault="009B7878" w:rsidP="009B7878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 obzirom da se uskoro očekuje raspisivanje lokalnih izbora i raspuštanje lokalnih predstavničkih tijela, novi općinski Plan gospodarenja otpadom usvojit će novi saziv Općinskog vijeća, nakon konstituiranja predstavničkog tijela.</w:t>
      </w:r>
    </w:p>
    <w:p w:rsidR="005E3AFC" w:rsidRPr="00A27E0C" w:rsidRDefault="005E3AFC" w:rsidP="0008339E">
      <w:pPr>
        <w:pStyle w:val="Odlomakpopisa"/>
        <w:ind w:firstLine="696"/>
        <w:rPr>
          <w:rFonts w:ascii="Times New Roman" w:hAnsi="Times New Roman" w:cs="Times New Roman"/>
          <w:i/>
          <w:sz w:val="23"/>
          <w:szCs w:val="23"/>
        </w:rPr>
      </w:pPr>
    </w:p>
    <w:p w:rsidR="005E3AFC" w:rsidRPr="00A27E0C" w:rsidRDefault="00F7522D" w:rsidP="00F752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ANALIZA UČINKOVITOSTI PODUZETIH MJERA, </w:t>
      </w:r>
      <w:r w:rsidR="005E3AFC" w:rsidRPr="00A27E0C">
        <w:rPr>
          <w:rFonts w:ascii="Times New Roman" w:hAnsi="Times New Roman" w:cs="Times New Roman"/>
          <w:b/>
          <w:sz w:val="23"/>
          <w:szCs w:val="23"/>
        </w:rPr>
        <w:t>OCJENA STANJA I POTREBA U GOSPODARENJU OTPADOM NA PODRUČJU</w:t>
      </w:r>
      <w:r w:rsidRPr="00A27E0C">
        <w:rPr>
          <w:rFonts w:ascii="Times New Roman" w:hAnsi="Times New Roman" w:cs="Times New Roman"/>
          <w:b/>
          <w:sz w:val="23"/>
          <w:szCs w:val="23"/>
        </w:rPr>
        <w:t xml:space="preserve"> OPĆINE ERNESTINOVO</w:t>
      </w:r>
      <w:r w:rsidR="005E3AFC" w:rsidRPr="00A27E0C">
        <w:rPr>
          <w:rFonts w:ascii="Times New Roman" w:hAnsi="Times New Roman" w:cs="Times New Roman"/>
          <w:b/>
          <w:sz w:val="23"/>
          <w:szCs w:val="23"/>
        </w:rPr>
        <w:t>, UKLJUČUJUĆI OSTVARIVANJE CILJEVA</w:t>
      </w:r>
    </w:p>
    <w:p w:rsidR="00F7522D" w:rsidRPr="00A27E0C" w:rsidRDefault="00F7522D" w:rsidP="00A8534C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Djelatnost sakupljanja i odvoza komunalnog otpada povjerena je trgovačkom društvu UNIKOM d.o.o. iz Osijeka, u kojem Općina Ernestinovo ima suvlasnički udio.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ab/>
      </w:r>
      <w:r w:rsidRPr="00A27E0C">
        <w:rPr>
          <w:rFonts w:ascii="Times New Roman" w:hAnsi="Times New Roman" w:cs="Times New Roman"/>
          <w:sz w:val="23"/>
          <w:szCs w:val="23"/>
        </w:rPr>
        <w:t>Općinsko vijeće Općine Ernestinovo donijelo je Odluku o obvezatnom korištenju komunalne usluge održavanja čistoće u dijelu koji se odnosi na sakupljanje i odvoz komunalnog otpada na području Općine Ernestinovo („Službeni glasnik“ Općine Ernestinovo broj 5/10).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Organiziranim odvozom komunalnog otpada obuhvaćena su sva tri naselja Općine, odnosno sva kućanstva i poslovni subjekti.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Komunalni otpad odvozi se i odlaže izvan područja Općine, na deponiju Lonačnica Velika.</w:t>
      </w:r>
    </w:p>
    <w:p w:rsidR="00A8534C" w:rsidRPr="00A27E0C" w:rsidRDefault="00A8534C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Planom su predviđene općenite mjere odvojenog sakupljanja komunalnog otpada u skladu s tadašnjim zakonskim propisima. Međutim, u skladu sa obvezama koje proizlaze iz (novog) Zakona o održivom gospodarenju otpadom, koji predviđa obvezu jedinica lokalne samouprave da organizira odvojeno prikupljanje komunalnog otpada i razvrstavanje otpada „na kućnom pragu“, kao najdjelotvornijeg načina razvrstavanja otpada, pristupljeno je organizaciji navedenog, a da to nije ni bilo propisano Planom.</w:t>
      </w:r>
    </w:p>
    <w:p w:rsidR="00251B59" w:rsidRDefault="000B407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U tu svrhu početkom</w:t>
      </w:r>
      <w:r w:rsidR="00A8534C" w:rsidRPr="00A27E0C">
        <w:rPr>
          <w:rFonts w:ascii="Times New Roman" w:hAnsi="Times New Roman" w:cs="Times New Roman"/>
          <w:sz w:val="23"/>
          <w:szCs w:val="23"/>
        </w:rPr>
        <w:t xml:space="preserve"> </w:t>
      </w:r>
      <w:r w:rsidR="00D22572">
        <w:rPr>
          <w:rFonts w:ascii="Times New Roman" w:hAnsi="Times New Roman" w:cs="Times New Roman"/>
          <w:sz w:val="23"/>
          <w:szCs w:val="23"/>
        </w:rPr>
        <w:t>2015.</w:t>
      </w:r>
      <w:r w:rsidR="00A8534C" w:rsidRPr="00A27E0C">
        <w:rPr>
          <w:rFonts w:ascii="Times New Roman" w:hAnsi="Times New Roman" w:cs="Times New Roman"/>
          <w:sz w:val="23"/>
          <w:szCs w:val="23"/>
        </w:rPr>
        <w:t xml:space="preserve"> godine </w:t>
      </w:r>
      <w:r>
        <w:rPr>
          <w:rFonts w:ascii="Times New Roman" w:hAnsi="Times New Roman" w:cs="Times New Roman"/>
          <w:sz w:val="23"/>
          <w:szCs w:val="23"/>
        </w:rPr>
        <w:t>nabavljene su plave posude za odvojeno prikupljanje starog papira te je u svakom naselju postavljen eko otok s kontejnerima za odvojeno prikupljanje problematičnog otpada</w:t>
      </w:r>
      <w:r w:rsidR="00251B59">
        <w:rPr>
          <w:rFonts w:ascii="Times New Roman" w:hAnsi="Times New Roman" w:cs="Times New Roman"/>
          <w:sz w:val="23"/>
          <w:szCs w:val="23"/>
        </w:rPr>
        <w:t>, koji su postavljeni na javnu površinu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B7878" w:rsidRDefault="009B7878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Početkom 2016. godine eko-otok u Laslovu je zapaljen, a slučaj je prijavljen policiji. Utvrđeno je da je počinitelj maloljetan te je državno odvjetništvo odbacilo prijavu za pokretanje postupka protiv maloljetnog počinitelja. Kako bi se osiguralo odvojeno prikupljanje otpada, u dogovoru s tvrtkom Unikom d.o.o. privremeno je postavljen drugi eko-otok u Laslovu, dok Općina ne bude u mogućnosti nabaviti novi uz sufinanciranje Fonda za zaštitu okoliša i energetsku učinkovitost.</w:t>
      </w:r>
    </w:p>
    <w:p w:rsidR="00251B59" w:rsidRPr="00A27E0C" w:rsidRDefault="00251B59" w:rsidP="00251B59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Na području Općine Ernestinovo broj kućanstava koja su obveznici odvoza komunalnog otpada </w:t>
      </w:r>
      <w:r w:rsidR="00F0652F">
        <w:rPr>
          <w:rFonts w:ascii="Times New Roman" w:hAnsi="Times New Roman" w:cs="Times New Roman"/>
          <w:sz w:val="23"/>
          <w:szCs w:val="23"/>
        </w:rPr>
        <w:t>kreće se oko 750, pa je nabavljena</w:t>
      </w:r>
      <w:r w:rsidRPr="00A27E0C">
        <w:rPr>
          <w:rFonts w:ascii="Times New Roman" w:hAnsi="Times New Roman" w:cs="Times New Roman"/>
          <w:sz w:val="23"/>
          <w:szCs w:val="23"/>
        </w:rPr>
        <w:t xml:space="preserve"> veća količina plavih posuda, za nove korisni</w:t>
      </w:r>
      <w:r w:rsidR="000C0D52">
        <w:rPr>
          <w:rFonts w:ascii="Times New Roman" w:hAnsi="Times New Roman" w:cs="Times New Roman"/>
          <w:sz w:val="23"/>
          <w:szCs w:val="23"/>
        </w:rPr>
        <w:t>ke i za pravne osobe koje iskažu</w:t>
      </w:r>
      <w:r w:rsidRPr="00A27E0C">
        <w:rPr>
          <w:rFonts w:ascii="Times New Roman" w:hAnsi="Times New Roman" w:cs="Times New Roman"/>
          <w:sz w:val="23"/>
          <w:szCs w:val="23"/>
        </w:rPr>
        <w:t xml:space="preserve"> potrebu za plavom posudom za stari papir.</w:t>
      </w:r>
      <w:r w:rsidR="00F0652F">
        <w:rPr>
          <w:rFonts w:ascii="Times New Roman" w:hAnsi="Times New Roman" w:cs="Times New Roman"/>
          <w:sz w:val="23"/>
          <w:szCs w:val="23"/>
        </w:rPr>
        <w:t xml:space="preserve"> Tijekom godine novim korisnicima podijeljene su plave posude, a određeni broj posuda još uvijek je raspoloživ.</w:t>
      </w:r>
    </w:p>
    <w:p w:rsidR="0057570B" w:rsidRPr="00A27E0C" w:rsidRDefault="0057570B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Unikom d.o.o. </w:t>
      </w:r>
      <w:r w:rsidR="00F0652F">
        <w:rPr>
          <w:rFonts w:ascii="Times New Roman" w:hAnsi="Times New Roman" w:cs="Times New Roman"/>
          <w:sz w:val="23"/>
          <w:szCs w:val="23"/>
        </w:rPr>
        <w:t>osigurava vrećice za odvojeno prikupljanje PET ambalaže u kućanstvima tzv. odvajanje otpada „na kućnom pragu“. N</w:t>
      </w:r>
      <w:r w:rsidR="00251B59">
        <w:rPr>
          <w:rFonts w:ascii="Times New Roman" w:hAnsi="Times New Roman" w:cs="Times New Roman"/>
          <w:sz w:val="23"/>
          <w:szCs w:val="23"/>
        </w:rPr>
        <w:t>akon što iskoriste sve dodijeljene vrećice za odvojeno odlaganje pet ambalaže, građani mogu podići nove vrećice u zgradi općinske uprave, za daljnje korištenje. Vrećice se ne naplaćuju.</w:t>
      </w:r>
    </w:p>
    <w:p w:rsidR="00A852E7" w:rsidRPr="00A27E0C" w:rsidRDefault="00797A1A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Građani od ranije imaju zelene posude zapremine 120 l, kojima se prikuplja mješoviti komunalni otpad.</w:t>
      </w:r>
    </w:p>
    <w:p w:rsidR="00797A1A" w:rsidRPr="00A27E0C" w:rsidRDefault="00797A1A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lastRenderedPageBreak/>
        <w:t>Odvoz komunalnog otpada organiziran je na sljedeći način:</w:t>
      </w:r>
    </w:p>
    <w:p w:rsidR="00797A1A" w:rsidRPr="00A27E0C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mješoviti komunalni otpad koji građani odlažu u zelene posude odvozi se jednom tjedno</w:t>
      </w:r>
    </w:p>
    <w:p w:rsidR="00797A1A" w:rsidRPr="00A27E0C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stari papir koji građani odlažu </w:t>
      </w:r>
      <w:r w:rsidR="0057570B" w:rsidRPr="00A27E0C">
        <w:rPr>
          <w:rFonts w:ascii="Times New Roman" w:hAnsi="Times New Roman" w:cs="Times New Roman"/>
          <w:sz w:val="23"/>
          <w:szCs w:val="23"/>
        </w:rPr>
        <w:t>u plave posude odvozi se jednom mjesečno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pet ambalaža koju građani odlažu u posebne za to namijenjene vrećice odvozi se jednom mjesečno, istoga dana kad i stari papir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neovisno o odvozu starog papira i pet ambalaže „sa kućnog praga“, građanima su dostupni i eko-otoci za odvojeno odlaganje otpada, u svakom naselju po jedan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glomazni otpad odvozi se jednom tjedno, sa više lokacija, a odlaže se u za to predviđene kontejnere koji se smještaju na javnu površinu</w:t>
      </w:r>
    </w:p>
    <w:p w:rsidR="00F079B5" w:rsidRPr="00A27E0C" w:rsidRDefault="00F079B5" w:rsidP="00F079B5">
      <w:pPr>
        <w:pStyle w:val="Odlomakpopisa"/>
        <w:ind w:left="360"/>
        <w:rPr>
          <w:rFonts w:ascii="Times New Roman" w:hAnsi="Times New Roman" w:cs="Times New Roman"/>
          <w:b/>
          <w:sz w:val="23"/>
          <w:szCs w:val="23"/>
        </w:rPr>
      </w:pPr>
    </w:p>
    <w:p w:rsidR="00646C09" w:rsidRDefault="00740D30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Prilikom podjele plavih posuda i vrećica za pet ambalažu, građanima je uručen kratak informativni letak kojim se ukazuje na potrebu i zakonske obveze za razvrstavanje otpada.</w:t>
      </w:r>
      <w:r w:rsidR="000C0D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816FF" w:rsidRDefault="007816FF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816FF" w:rsidRDefault="00293ABD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 srpnju 2016. potpisan je sporazum između općina Antunovac i Ernestinovo o zajedničkom korištenju reciklažnog dvorišta Općine Antunovac, čime je izvršena zakonska obveza osiguravanja funkcioniranja reciklažnog dvorišta za potrebe Općine Ernestinovo.</w:t>
      </w:r>
    </w:p>
    <w:p w:rsidR="000C0D52" w:rsidRDefault="000C0D52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6311B" w:rsidRPr="00896CF6" w:rsidRDefault="00072773" w:rsidP="00646C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PODA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>CI</w:t>
      </w:r>
      <w:r w:rsidR="005D3804" w:rsidRPr="00A27E0C">
        <w:rPr>
          <w:rFonts w:ascii="Times New Roman" w:hAnsi="Times New Roman" w:cs="Times New Roman"/>
          <w:b/>
          <w:sz w:val="23"/>
          <w:szCs w:val="23"/>
        </w:rPr>
        <w:t xml:space="preserve"> O VRSTAMA I KOLIČINAMA PROIZVEDENOG OTPADA, ODVOJENO SAKUPLJENOG OTPADA, ODLAGANJU KOMUNALNOG I BIORAZGRADIVOG OTPADA TE OSTVARIVANJU CILJEVA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3804" w:rsidRPr="00A27E0C">
        <w:rPr>
          <w:rFonts w:ascii="Times New Roman" w:hAnsi="Times New Roman" w:cs="Times New Roman"/>
          <w:b/>
          <w:sz w:val="23"/>
          <w:szCs w:val="23"/>
        </w:rPr>
        <w:t>NA PODRUČJU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0D30" w:rsidRPr="00A27E0C">
        <w:rPr>
          <w:rFonts w:ascii="Times New Roman" w:hAnsi="Times New Roman" w:cs="Times New Roman"/>
          <w:b/>
          <w:sz w:val="23"/>
          <w:szCs w:val="23"/>
        </w:rPr>
        <w:t>OPĆINE ERNESTINOVO</w:t>
      </w:r>
    </w:p>
    <w:p w:rsidR="00896CF6" w:rsidRDefault="00896CF6" w:rsidP="00896CF6">
      <w:pPr>
        <w:pStyle w:val="Odlomakpopisa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6CF6" w:rsidRPr="00896CF6" w:rsidRDefault="00896CF6" w:rsidP="00896CF6">
      <w:pPr>
        <w:pStyle w:val="Odlomakpopisa"/>
        <w:ind w:left="0"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Daje se pregled prikupljenog otpada, prema vrstama i oznakama iz kataloga otpada Pravilnika o katalogu otpada („Narodne novine“ broj 90/15)</w:t>
      </w:r>
      <w:r w:rsidR="00F1361C">
        <w:rPr>
          <w:rFonts w:ascii="Times New Roman" w:hAnsi="Times New Roman" w:cs="Times New Roman"/>
          <w:sz w:val="23"/>
          <w:szCs w:val="23"/>
        </w:rPr>
        <w:t>:</w:t>
      </w:r>
    </w:p>
    <w:p w:rsidR="00C6311B" w:rsidRPr="00A27E0C" w:rsidRDefault="00C6311B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Reetkatablice"/>
        <w:tblW w:w="8655" w:type="dxa"/>
        <w:tblInd w:w="108" w:type="dxa"/>
        <w:tblLook w:val="04A0" w:firstRow="1" w:lastRow="0" w:firstColumn="1" w:lastColumn="0" w:noHBand="0" w:noVBand="1"/>
      </w:tblPr>
      <w:tblGrid>
        <w:gridCol w:w="1005"/>
        <w:gridCol w:w="1186"/>
        <w:gridCol w:w="1103"/>
        <w:gridCol w:w="1101"/>
        <w:gridCol w:w="1134"/>
        <w:gridCol w:w="1134"/>
        <w:gridCol w:w="996"/>
        <w:gridCol w:w="996"/>
      </w:tblGrid>
      <w:tr w:rsidR="007C66B4" w:rsidRPr="007C66B4" w:rsidTr="007C66B4">
        <w:tc>
          <w:tcPr>
            <w:tcW w:w="1005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Tvrtka ili naziv</w:t>
            </w:r>
          </w:p>
        </w:tc>
        <w:tc>
          <w:tcPr>
            <w:tcW w:w="1186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Područje sa kojeg je otpad skupljen (općina/grad)</w:t>
            </w:r>
          </w:p>
        </w:tc>
        <w:tc>
          <w:tcPr>
            <w:tcW w:w="1103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Broj stanovnika obuhvaćen skupljanjem</w:t>
            </w:r>
          </w:p>
        </w:tc>
        <w:tc>
          <w:tcPr>
            <w:tcW w:w="1101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Oznaka iz kataloga otpada (NN 90/15)</w:t>
            </w:r>
          </w:p>
        </w:tc>
        <w:tc>
          <w:tcPr>
            <w:tcW w:w="1134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Naziv otpada</w:t>
            </w:r>
          </w:p>
        </w:tc>
        <w:tc>
          <w:tcPr>
            <w:tcW w:w="1134" w:type="dxa"/>
          </w:tcPr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Ukupno sakupljeno (preuzeto u 2014. godini)</w:t>
            </w:r>
          </w:p>
          <w:p w:rsidR="007C66B4" w:rsidRPr="007C66B4" w:rsidRDefault="007C66B4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tona</w:t>
            </w:r>
          </w:p>
        </w:tc>
        <w:tc>
          <w:tcPr>
            <w:tcW w:w="996" w:type="dxa"/>
          </w:tcPr>
          <w:p w:rsidR="007C66B4" w:rsidRPr="007C66B4" w:rsidRDefault="007C66B4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Ukupno sakupljeno (preuzeto u 2015. godini)</w:t>
            </w:r>
          </w:p>
          <w:p w:rsidR="007C66B4" w:rsidRPr="007C66B4" w:rsidRDefault="007C66B4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tona</w:t>
            </w:r>
          </w:p>
        </w:tc>
        <w:tc>
          <w:tcPr>
            <w:tcW w:w="996" w:type="dxa"/>
          </w:tcPr>
          <w:p w:rsidR="007C66B4" w:rsidRPr="007C66B4" w:rsidRDefault="007C66B4" w:rsidP="007C66B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Ukupno sakupljeno (preuzeto u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. godini)</w:t>
            </w:r>
          </w:p>
          <w:p w:rsidR="007C66B4" w:rsidRPr="007C66B4" w:rsidRDefault="007C66B4" w:rsidP="007C66B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6B4">
              <w:rPr>
                <w:rFonts w:ascii="Times New Roman" w:hAnsi="Times New Roman" w:cs="Times New Roman"/>
                <w:sz w:val="18"/>
                <w:szCs w:val="18"/>
              </w:rPr>
              <w:t>tona</w:t>
            </w:r>
          </w:p>
        </w:tc>
      </w:tr>
      <w:tr w:rsidR="006C4EE9" w:rsidRPr="00A27E0C" w:rsidTr="007C66B4">
        <w:tc>
          <w:tcPr>
            <w:tcW w:w="1005" w:type="dxa"/>
            <w:vMerge w:val="restart"/>
            <w:vAlign w:val="center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UNIKOM d.o.o. Osijek</w:t>
            </w:r>
          </w:p>
        </w:tc>
        <w:tc>
          <w:tcPr>
            <w:tcW w:w="1186" w:type="dxa"/>
            <w:vMerge w:val="restart"/>
            <w:vAlign w:val="center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Općina Ernestinovo</w:t>
            </w:r>
          </w:p>
        </w:tc>
        <w:tc>
          <w:tcPr>
            <w:tcW w:w="1103" w:type="dxa"/>
            <w:vMerge w:val="restart"/>
            <w:vAlign w:val="center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2.189</w:t>
            </w:r>
          </w:p>
        </w:tc>
        <w:tc>
          <w:tcPr>
            <w:tcW w:w="1101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20 03 01</w:t>
            </w:r>
          </w:p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mješoviti komunalni otpad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511,20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493,20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490,00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20 01 01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papir – plave posude</w:t>
            </w:r>
          </w:p>
        </w:tc>
        <w:tc>
          <w:tcPr>
            <w:tcW w:w="1134" w:type="dxa"/>
          </w:tcPr>
          <w:p w:rsidR="006C4EE9" w:rsidRPr="00A27E0C" w:rsidRDefault="006C4EE9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18,27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22,00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20 01 39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plastika – „s kućnog praga“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3,84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4,51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20 01 01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papir – eko otoci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2,73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2,00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20 01 39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plastika – eko otoci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0,36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0,39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20 01 02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staklo – eko otoci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1,20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1,50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20 01 40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6B4">
              <w:rPr>
                <w:rFonts w:ascii="Times New Roman" w:hAnsi="Times New Roman" w:cs="Times New Roman"/>
                <w:i/>
                <w:sz w:val="20"/>
                <w:szCs w:val="20"/>
              </w:rPr>
              <w:t>metal – eko otoci</w:t>
            </w:r>
          </w:p>
        </w:tc>
        <w:tc>
          <w:tcPr>
            <w:tcW w:w="1134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0,56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0,37</w:t>
            </w:r>
          </w:p>
        </w:tc>
      </w:tr>
      <w:tr w:rsidR="006C4EE9" w:rsidRPr="00A27E0C" w:rsidTr="007C66B4">
        <w:tc>
          <w:tcPr>
            <w:tcW w:w="1005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86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3" w:type="dxa"/>
            <w:vMerge/>
          </w:tcPr>
          <w:p w:rsidR="006C4EE9" w:rsidRPr="00A27E0C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01" w:type="dxa"/>
          </w:tcPr>
          <w:p w:rsidR="006C4EE9" w:rsidRDefault="009B34A8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20 03 07</w:t>
            </w:r>
          </w:p>
        </w:tc>
        <w:tc>
          <w:tcPr>
            <w:tcW w:w="1134" w:type="dxa"/>
          </w:tcPr>
          <w:p w:rsidR="006C4EE9" w:rsidRPr="007C66B4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glomazni otpad</w:t>
            </w:r>
          </w:p>
        </w:tc>
        <w:tc>
          <w:tcPr>
            <w:tcW w:w="1134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996" w:type="dxa"/>
          </w:tcPr>
          <w:p w:rsidR="006C4EE9" w:rsidRDefault="006C4EE9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4,90</w:t>
            </w:r>
          </w:p>
        </w:tc>
      </w:tr>
    </w:tbl>
    <w:p w:rsidR="00775764" w:rsidRPr="00A27E0C" w:rsidRDefault="00775764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1F777C" w:rsidRDefault="00E01396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Za 2014</w:t>
      </w:r>
      <w:r w:rsidR="00740D30" w:rsidRPr="00A27E0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godinu postoje jedino podaci o količini mješovitog komunalnog otpada jer tada još nije bilo organizirano odvojeno prikupljanje otpada. </w:t>
      </w:r>
    </w:p>
    <w:p w:rsidR="009F0FEE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F777C" w:rsidRDefault="001F777C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Podaci za glomazni otpad postoje jedino za 2016. godinu jer su se podaci u prethodnim godinama iskazivali za Grad Osijek i sve općine zajedno, pa nisu postojali zasebni podaci za Općinu Ernestinovo.</w:t>
      </w:r>
    </w:p>
    <w:p w:rsidR="009F0FEE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F777C" w:rsidRDefault="001F777C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Usporedbom podataka za 2014.,</w:t>
      </w:r>
      <w:r w:rsidR="00E01396">
        <w:rPr>
          <w:rFonts w:ascii="Times New Roman" w:hAnsi="Times New Roman" w:cs="Times New Roman"/>
          <w:sz w:val="23"/>
          <w:szCs w:val="23"/>
        </w:rPr>
        <w:t xml:space="preserve"> 2015.</w:t>
      </w:r>
      <w:r>
        <w:rPr>
          <w:rFonts w:ascii="Times New Roman" w:hAnsi="Times New Roman" w:cs="Times New Roman"/>
          <w:sz w:val="23"/>
          <w:szCs w:val="23"/>
        </w:rPr>
        <w:t xml:space="preserve"> i 2016.</w:t>
      </w:r>
      <w:r w:rsidR="00E01396">
        <w:rPr>
          <w:rFonts w:ascii="Times New Roman" w:hAnsi="Times New Roman" w:cs="Times New Roman"/>
          <w:sz w:val="23"/>
          <w:szCs w:val="23"/>
        </w:rPr>
        <w:t xml:space="preserve"> godinu vidljivo je da se uvođenjem odvojenog prikupljanja smanjila količina mješovitog komunalnog otpada. </w:t>
      </w:r>
      <w:r>
        <w:rPr>
          <w:rFonts w:ascii="Times New Roman" w:hAnsi="Times New Roman" w:cs="Times New Roman"/>
          <w:sz w:val="23"/>
          <w:szCs w:val="23"/>
        </w:rPr>
        <w:t>S druge strane, značajan je porast količina prikupljenog starog papira „na kućnom pragu“, kao i plastike. Odvojeno prikupljanje otpada dalo je pozitivne rezultate i utjecalo na smanjivanje količine mješovitog komunalnog otpada.</w:t>
      </w:r>
    </w:p>
    <w:p w:rsidR="009F0FEE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40D30" w:rsidRPr="00A27E0C" w:rsidRDefault="008948BB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Može se očekivati daljnji trend smanjivanja količina mješovitog otpada.</w:t>
      </w:r>
    </w:p>
    <w:p w:rsidR="00775764" w:rsidRPr="00A27E0C" w:rsidRDefault="00775764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39206D" w:rsidRPr="00A27E0C" w:rsidRDefault="00775764" w:rsidP="003920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 ZAKLJUČAK</w:t>
      </w:r>
    </w:p>
    <w:p w:rsidR="0039206D" w:rsidRPr="00A27E0C" w:rsidRDefault="0039206D" w:rsidP="0039206D">
      <w:pPr>
        <w:pStyle w:val="Odlomakpopisa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0652F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Poduzetim mjerama učinjen je značajan iskorak u održivom gospodarenju otpadom u odnosu na dosadašnje stanje. </w:t>
      </w:r>
    </w:p>
    <w:p w:rsidR="00F0652F" w:rsidRDefault="00F0652F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0652F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Međutim, potrebno je </w:t>
      </w:r>
      <w:r w:rsidR="00F0652F">
        <w:rPr>
          <w:rFonts w:ascii="Times New Roman" w:hAnsi="Times New Roman" w:cs="Times New Roman"/>
          <w:sz w:val="23"/>
          <w:szCs w:val="23"/>
        </w:rPr>
        <w:t>žurno pristupiti izradi novog Plana gospodarenja otpadom Općine Ernestinovo, u skladu sa smjernicama iz Plana gospodarenja otpadom Republike Hrvatske.</w:t>
      </w:r>
    </w:p>
    <w:p w:rsidR="00F0652F" w:rsidRDefault="00F0652F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9206D" w:rsidRPr="00A27E0C" w:rsidRDefault="00F0652F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dodatno opremanje</w:t>
      </w:r>
      <w:r w:rsidR="0039206D" w:rsidRPr="00A27E0C">
        <w:rPr>
          <w:rFonts w:ascii="Times New Roman" w:hAnsi="Times New Roman" w:cs="Times New Roman"/>
          <w:sz w:val="23"/>
          <w:szCs w:val="23"/>
        </w:rPr>
        <w:t xml:space="preserve"> potrebno je koristiti mogućnosti </w:t>
      </w:r>
      <w:r w:rsidR="00DF68DF" w:rsidRPr="00A27E0C">
        <w:rPr>
          <w:rFonts w:ascii="Times New Roman" w:hAnsi="Times New Roman" w:cs="Times New Roman"/>
          <w:sz w:val="23"/>
          <w:szCs w:val="23"/>
        </w:rPr>
        <w:t xml:space="preserve">za sufinanciranje </w:t>
      </w:r>
      <w:r w:rsidR="0039206D" w:rsidRPr="00A27E0C">
        <w:rPr>
          <w:rFonts w:ascii="Times New Roman" w:hAnsi="Times New Roman" w:cs="Times New Roman"/>
          <w:sz w:val="23"/>
          <w:szCs w:val="23"/>
        </w:rPr>
        <w:t>koje nudi Fond za zaštitu okoliša i energetsku učinkovitost.</w:t>
      </w: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9206D" w:rsidRPr="00A27E0C" w:rsidRDefault="00743658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8948BB">
        <w:rPr>
          <w:rFonts w:ascii="Times New Roman" w:hAnsi="Times New Roman" w:cs="Times New Roman"/>
          <w:sz w:val="23"/>
          <w:szCs w:val="23"/>
        </w:rPr>
        <w:t xml:space="preserve">otrebno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 w:rsidR="008948BB">
        <w:rPr>
          <w:rFonts w:ascii="Times New Roman" w:hAnsi="Times New Roman" w:cs="Times New Roman"/>
          <w:sz w:val="23"/>
          <w:szCs w:val="23"/>
        </w:rPr>
        <w:t>nastaviti s</w:t>
      </w:r>
      <w:r w:rsidR="0039206D" w:rsidRPr="00A27E0C">
        <w:rPr>
          <w:rFonts w:ascii="Times New Roman" w:hAnsi="Times New Roman" w:cs="Times New Roman"/>
          <w:sz w:val="23"/>
          <w:szCs w:val="23"/>
        </w:rPr>
        <w:t xml:space="preserve"> edukacij</w:t>
      </w:r>
      <w:r w:rsidR="008948BB">
        <w:rPr>
          <w:rFonts w:ascii="Times New Roman" w:hAnsi="Times New Roman" w:cs="Times New Roman"/>
          <w:sz w:val="23"/>
          <w:szCs w:val="23"/>
        </w:rPr>
        <w:t>om</w:t>
      </w:r>
      <w:r w:rsidR="0039206D" w:rsidRPr="00A27E0C">
        <w:rPr>
          <w:rFonts w:ascii="Times New Roman" w:hAnsi="Times New Roman" w:cs="Times New Roman"/>
          <w:sz w:val="23"/>
          <w:szCs w:val="23"/>
        </w:rPr>
        <w:t xml:space="preserve"> stanovništva putem dodatnih informativnih letaka, radionica i slično.</w:t>
      </w: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Ovo Izvješće se obavezno dostavlja Osječko-baranjskoj županiji, Upravnom odjelu za prostorno-planiranje, zaštitu okoliša i prirode.</w:t>
      </w:r>
    </w:p>
    <w:p w:rsidR="00CB50C4" w:rsidRPr="00A27E0C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Izvješće se ima objaviti u „Službenom glasniku“ Općine Ernestinovo.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0E25B1" w:rsidRPr="000E25B1" w:rsidRDefault="00CB50C4" w:rsidP="000E25B1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KLASA:</w:t>
      </w:r>
      <w:r w:rsidR="000E25B1">
        <w:rPr>
          <w:rFonts w:ascii="Times New Roman" w:hAnsi="Times New Roman" w:cs="Times New Roman"/>
          <w:sz w:val="23"/>
          <w:szCs w:val="23"/>
        </w:rPr>
        <w:t xml:space="preserve"> </w:t>
      </w:r>
      <w:r w:rsidR="000E25B1" w:rsidRPr="000E25B1">
        <w:rPr>
          <w:rFonts w:ascii="Times New Roman" w:hAnsi="Times New Roman" w:cs="Times New Roman"/>
          <w:sz w:val="23"/>
          <w:szCs w:val="23"/>
        </w:rPr>
        <w:t>351-01/1</w:t>
      </w:r>
      <w:r w:rsidR="00F0652F">
        <w:rPr>
          <w:rFonts w:ascii="Times New Roman" w:hAnsi="Times New Roman" w:cs="Times New Roman"/>
          <w:sz w:val="23"/>
          <w:szCs w:val="23"/>
        </w:rPr>
        <w:t>7</w:t>
      </w:r>
      <w:r w:rsidR="000E25B1" w:rsidRPr="000E25B1">
        <w:rPr>
          <w:rFonts w:ascii="Times New Roman" w:hAnsi="Times New Roman" w:cs="Times New Roman"/>
          <w:sz w:val="23"/>
          <w:szCs w:val="23"/>
        </w:rPr>
        <w:t>-01/</w:t>
      </w:r>
      <w:r w:rsidR="004C5E03">
        <w:rPr>
          <w:rFonts w:ascii="Times New Roman" w:hAnsi="Times New Roman" w:cs="Times New Roman"/>
          <w:sz w:val="23"/>
          <w:szCs w:val="23"/>
        </w:rPr>
        <w:t>01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URBROJ: 2158/04-1</w:t>
      </w:r>
      <w:r w:rsidR="00F0652F">
        <w:rPr>
          <w:rFonts w:ascii="Times New Roman" w:hAnsi="Times New Roman" w:cs="Times New Roman"/>
          <w:sz w:val="23"/>
          <w:szCs w:val="23"/>
        </w:rPr>
        <w:t>7</w:t>
      </w:r>
      <w:r w:rsidRPr="00A27E0C">
        <w:rPr>
          <w:rFonts w:ascii="Times New Roman" w:hAnsi="Times New Roman" w:cs="Times New Roman"/>
          <w:sz w:val="23"/>
          <w:szCs w:val="23"/>
        </w:rPr>
        <w:t>-01</w:t>
      </w:r>
    </w:p>
    <w:p w:rsidR="00CB50C4" w:rsidRPr="00A27E0C" w:rsidRDefault="004C5E03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Ernestinovo, </w:t>
      </w:r>
      <w:r w:rsidR="00F348B1">
        <w:rPr>
          <w:rFonts w:ascii="Times New Roman" w:hAnsi="Times New Roman" w:cs="Times New Roman"/>
          <w:sz w:val="23"/>
          <w:szCs w:val="23"/>
        </w:rPr>
        <w:t>14</w:t>
      </w:r>
      <w:bookmarkStart w:id="0" w:name="_GoBack"/>
      <w:bookmarkEnd w:id="0"/>
      <w:r w:rsidR="00CB50C4" w:rsidRPr="00A27E0C">
        <w:rPr>
          <w:rFonts w:ascii="Times New Roman" w:hAnsi="Times New Roman" w:cs="Times New Roman"/>
          <w:sz w:val="23"/>
          <w:szCs w:val="23"/>
        </w:rPr>
        <w:t xml:space="preserve">. ožujka </w:t>
      </w:r>
      <w:r w:rsidR="00D22572">
        <w:rPr>
          <w:rFonts w:ascii="Times New Roman" w:hAnsi="Times New Roman" w:cs="Times New Roman"/>
          <w:sz w:val="23"/>
          <w:szCs w:val="23"/>
        </w:rPr>
        <w:t>201</w:t>
      </w:r>
      <w:r w:rsidR="00C614A4">
        <w:rPr>
          <w:rFonts w:ascii="Times New Roman" w:hAnsi="Times New Roman" w:cs="Times New Roman"/>
          <w:sz w:val="23"/>
          <w:szCs w:val="23"/>
        </w:rPr>
        <w:t>7</w:t>
      </w:r>
      <w:r w:rsidR="00D22572">
        <w:rPr>
          <w:rFonts w:ascii="Times New Roman" w:hAnsi="Times New Roman" w:cs="Times New Roman"/>
          <w:sz w:val="23"/>
          <w:szCs w:val="23"/>
        </w:rPr>
        <w:t>.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Predsjednik</w:t>
      </w: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Općinskog vijeća</w:t>
      </w: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Siniša Stražanac</w:t>
      </w:r>
    </w:p>
    <w:sectPr w:rsidR="00CB50C4" w:rsidRPr="00A27E0C" w:rsidSect="00E11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ED" w:rsidRPr="006626BF" w:rsidRDefault="008845ED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845ED" w:rsidRPr="006626BF" w:rsidRDefault="008845ED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0590"/>
      <w:docPartObj>
        <w:docPartGallery w:val="Page Numbers (Bottom of Page)"/>
        <w:docPartUnique/>
      </w:docPartObj>
    </w:sdtPr>
    <w:sdtEndPr/>
    <w:sdtContent>
      <w:p w:rsidR="006626BF" w:rsidRDefault="003D1A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6BF" w:rsidRDefault="006626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ED" w:rsidRPr="006626BF" w:rsidRDefault="008845ED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845ED" w:rsidRPr="006626BF" w:rsidRDefault="008845ED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EE5"/>
    <w:multiLevelType w:val="hybridMultilevel"/>
    <w:tmpl w:val="81E481FC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680"/>
    <w:multiLevelType w:val="hybridMultilevel"/>
    <w:tmpl w:val="517A1F3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921FC6"/>
    <w:multiLevelType w:val="hybridMultilevel"/>
    <w:tmpl w:val="3A08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1D9"/>
    <w:multiLevelType w:val="hybridMultilevel"/>
    <w:tmpl w:val="AD1233F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483"/>
    <w:multiLevelType w:val="hybridMultilevel"/>
    <w:tmpl w:val="DCD8F45E"/>
    <w:lvl w:ilvl="0" w:tplc="89C612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205"/>
    <w:multiLevelType w:val="hybridMultilevel"/>
    <w:tmpl w:val="554CB972"/>
    <w:lvl w:ilvl="0" w:tplc="3DC4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E51"/>
    <w:multiLevelType w:val="hybridMultilevel"/>
    <w:tmpl w:val="88943DCA"/>
    <w:lvl w:ilvl="0" w:tplc="E53E264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91E2F09"/>
    <w:multiLevelType w:val="hybridMultilevel"/>
    <w:tmpl w:val="53D0C6B6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7F2539B"/>
    <w:multiLevelType w:val="hybridMultilevel"/>
    <w:tmpl w:val="F1B44D50"/>
    <w:lvl w:ilvl="0" w:tplc="CA4C753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31"/>
    <w:rsid w:val="00011E5E"/>
    <w:rsid w:val="00030BFA"/>
    <w:rsid w:val="00072773"/>
    <w:rsid w:val="000757A5"/>
    <w:rsid w:val="0008339E"/>
    <w:rsid w:val="000B407D"/>
    <w:rsid w:val="000C0D52"/>
    <w:rsid w:val="000C4D06"/>
    <w:rsid w:val="000E25B1"/>
    <w:rsid w:val="00131E7E"/>
    <w:rsid w:val="00181045"/>
    <w:rsid w:val="0018234C"/>
    <w:rsid w:val="00183FA5"/>
    <w:rsid w:val="001F777C"/>
    <w:rsid w:val="00211AE3"/>
    <w:rsid w:val="00251B59"/>
    <w:rsid w:val="00293ABD"/>
    <w:rsid w:val="002A18E8"/>
    <w:rsid w:val="002D495E"/>
    <w:rsid w:val="00325AE4"/>
    <w:rsid w:val="003649DC"/>
    <w:rsid w:val="003733C7"/>
    <w:rsid w:val="00386A7D"/>
    <w:rsid w:val="0039022B"/>
    <w:rsid w:val="0039206D"/>
    <w:rsid w:val="003A243B"/>
    <w:rsid w:val="003A64C1"/>
    <w:rsid w:val="003D1AA3"/>
    <w:rsid w:val="003D4B14"/>
    <w:rsid w:val="003D72F5"/>
    <w:rsid w:val="003E1F82"/>
    <w:rsid w:val="003E6549"/>
    <w:rsid w:val="00415B29"/>
    <w:rsid w:val="004509E7"/>
    <w:rsid w:val="004541D3"/>
    <w:rsid w:val="00491296"/>
    <w:rsid w:val="004C5E03"/>
    <w:rsid w:val="005163B9"/>
    <w:rsid w:val="00522735"/>
    <w:rsid w:val="00522854"/>
    <w:rsid w:val="005255A1"/>
    <w:rsid w:val="0057570B"/>
    <w:rsid w:val="005950FF"/>
    <w:rsid w:val="005D3804"/>
    <w:rsid w:val="005E3AFC"/>
    <w:rsid w:val="005E4C17"/>
    <w:rsid w:val="00631614"/>
    <w:rsid w:val="00646C09"/>
    <w:rsid w:val="00652037"/>
    <w:rsid w:val="00657CD6"/>
    <w:rsid w:val="006626BF"/>
    <w:rsid w:val="006C4EE9"/>
    <w:rsid w:val="006E26F6"/>
    <w:rsid w:val="006F3ED5"/>
    <w:rsid w:val="00717352"/>
    <w:rsid w:val="00740D30"/>
    <w:rsid w:val="00743658"/>
    <w:rsid w:val="00766FFD"/>
    <w:rsid w:val="00775764"/>
    <w:rsid w:val="007816FF"/>
    <w:rsid w:val="007873D3"/>
    <w:rsid w:val="00797A1A"/>
    <w:rsid w:val="007A0C24"/>
    <w:rsid w:val="007C66B4"/>
    <w:rsid w:val="008058E6"/>
    <w:rsid w:val="00836F94"/>
    <w:rsid w:val="0083732C"/>
    <w:rsid w:val="008845ED"/>
    <w:rsid w:val="008948BB"/>
    <w:rsid w:val="00896C84"/>
    <w:rsid w:val="00896CF6"/>
    <w:rsid w:val="008F51E6"/>
    <w:rsid w:val="00927520"/>
    <w:rsid w:val="00961845"/>
    <w:rsid w:val="009B34A8"/>
    <w:rsid w:val="009B7878"/>
    <w:rsid w:val="009C3FF1"/>
    <w:rsid w:val="009C4D27"/>
    <w:rsid w:val="009E6862"/>
    <w:rsid w:val="009F0FEE"/>
    <w:rsid w:val="00A253E2"/>
    <w:rsid w:val="00A27E0C"/>
    <w:rsid w:val="00A314D5"/>
    <w:rsid w:val="00A35491"/>
    <w:rsid w:val="00A57D59"/>
    <w:rsid w:val="00A852E7"/>
    <w:rsid w:val="00A8534C"/>
    <w:rsid w:val="00AE7AE7"/>
    <w:rsid w:val="00B61BEC"/>
    <w:rsid w:val="00B61DBD"/>
    <w:rsid w:val="00B64F31"/>
    <w:rsid w:val="00B676B4"/>
    <w:rsid w:val="00B71EF0"/>
    <w:rsid w:val="00B7350B"/>
    <w:rsid w:val="00BA09E7"/>
    <w:rsid w:val="00C17CA4"/>
    <w:rsid w:val="00C23795"/>
    <w:rsid w:val="00C46790"/>
    <w:rsid w:val="00C614A4"/>
    <w:rsid w:val="00C6311B"/>
    <w:rsid w:val="00C67736"/>
    <w:rsid w:val="00C70646"/>
    <w:rsid w:val="00C72D2F"/>
    <w:rsid w:val="00C9588C"/>
    <w:rsid w:val="00CB50C4"/>
    <w:rsid w:val="00D036DB"/>
    <w:rsid w:val="00D22572"/>
    <w:rsid w:val="00D57F81"/>
    <w:rsid w:val="00D61B73"/>
    <w:rsid w:val="00DF68DF"/>
    <w:rsid w:val="00E0107E"/>
    <w:rsid w:val="00E01396"/>
    <w:rsid w:val="00E11DB7"/>
    <w:rsid w:val="00E1443E"/>
    <w:rsid w:val="00E928E2"/>
    <w:rsid w:val="00E95D22"/>
    <w:rsid w:val="00F0652F"/>
    <w:rsid w:val="00F079B5"/>
    <w:rsid w:val="00F1361C"/>
    <w:rsid w:val="00F27F1F"/>
    <w:rsid w:val="00F348B1"/>
    <w:rsid w:val="00F7522D"/>
    <w:rsid w:val="00FA748D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EA5FA-3935-49F2-B822-7C33C39C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F31"/>
    <w:pPr>
      <w:ind w:left="720"/>
      <w:contextualSpacing/>
    </w:pPr>
  </w:style>
  <w:style w:type="paragraph" w:customStyle="1" w:styleId="t-9-8">
    <w:name w:val="t-9-8"/>
    <w:basedOn w:val="Normal"/>
    <w:rsid w:val="00A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63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26BF"/>
  </w:style>
  <w:style w:type="paragraph" w:styleId="Podnoje">
    <w:name w:val="footer"/>
    <w:basedOn w:val="Normal"/>
    <w:link w:val="PodnojeChar"/>
    <w:uiPriority w:val="99"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6BF"/>
  </w:style>
  <w:style w:type="paragraph" w:styleId="Bezproreda">
    <w:name w:val="No Spacing"/>
    <w:uiPriority w:val="1"/>
    <w:qFormat/>
    <w:rsid w:val="00BA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FE66-DC2E-4CA7-8200-36374E3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Opcina_Ernestinovo Opcinaen</cp:lastModifiedBy>
  <cp:revision>12</cp:revision>
  <cp:lastPrinted>2015-01-15T11:07:00Z</cp:lastPrinted>
  <dcterms:created xsi:type="dcterms:W3CDTF">2017-03-03T10:32:00Z</dcterms:created>
  <dcterms:modified xsi:type="dcterms:W3CDTF">2017-03-21T13:25:00Z</dcterms:modified>
</cp:coreProperties>
</file>